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02" w:type="dxa"/>
        <w:tblInd w:w="-10" w:type="dxa"/>
        <w:tblBorders>
          <w:top w:val="dashed" w:sz="6" w:space="0" w:color="auto"/>
          <w:left w:val="dashed" w:sz="6" w:space="0" w:color="auto"/>
          <w:bottom w:val="dashed" w:sz="6" w:space="0" w:color="auto"/>
          <w:right w:val="dashed" w:sz="6" w:space="0" w:color="auto"/>
        </w:tblBorders>
        <w:tblLayout w:type="fixed"/>
        <w:tblLook w:val="0000" w:firstRow="0" w:lastRow="0" w:firstColumn="0" w:lastColumn="0" w:noHBand="0" w:noVBand="0"/>
      </w:tblPr>
      <w:tblGrid>
        <w:gridCol w:w="284"/>
        <w:gridCol w:w="231"/>
        <w:gridCol w:w="2290"/>
        <w:gridCol w:w="2161"/>
        <w:gridCol w:w="5936"/>
      </w:tblGrid>
      <w:tr w:rsidR="00462DF5" w:rsidRPr="00B7259E" w14:paraId="21A7D0C5" w14:textId="77777777" w:rsidTr="009D7048">
        <w:tblPrEx>
          <w:tblCellMar>
            <w:top w:w="0" w:type="dxa"/>
            <w:bottom w:w="0" w:type="dxa"/>
          </w:tblCellMar>
        </w:tblPrEx>
        <w:trPr>
          <w:trHeight w:val="254"/>
        </w:trPr>
        <w:tc>
          <w:tcPr>
            <w:tcW w:w="515" w:type="dxa"/>
            <w:gridSpan w:val="2"/>
            <w:tcBorders>
              <w:top w:val="single" w:sz="6" w:space="0" w:color="auto"/>
              <w:left w:val="single" w:sz="6" w:space="0" w:color="auto"/>
              <w:bottom w:val="single" w:sz="6" w:space="0" w:color="auto"/>
              <w:right w:val="single" w:sz="6" w:space="0" w:color="auto"/>
            </w:tcBorders>
            <w:vAlign w:val="center"/>
          </w:tcPr>
          <w:p w14:paraId="4613BB0D" w14:textId="77777777" w:rsidR="00462DF5" w:rsidRPr="00B7259E" w:rsidRDefault="00462DF5" w:rsidP="00B7259E">
            <w:pPr>
              <w:pStyle w:val="NoSpacing"/>
              <w:spacing w:line="276" w:lineRule="auto"/>
              <w:rPr>
                <w:rFonts w:ascii="Arial" w:hAnsi="Arial" w:cs="Arial"/>
                <w:sz w:val="16"/>
                <w:szCs w:val="16"/>
                <w:lang w:val="hr-BA"/>
              </w:rPr>
            </w:pPr>
            <w:r w:rsidRPr="00B7259E">
              <w:rPr>
                <w:rFonts w:ascii="Arial" w:hAnsi="Arial" w:cs="Arial"/>
                <w:sz w:val="16"/>
                <w:szCs w:val="16"/>
                <w:lang w:val="hr-BA"/>
              </w:rPr>
              <w:t>1.</w:t>
            </w:r>
          </w:p>
        </w:tc>
        <w:tc>
          <w:tcPr>
            <w:tcW w:w="2290" w:type="dxa"/>
            <w:tcBorders>
              <w:top w:val="single" w:sz="6" w:space="0" w:color="auto"/>
              <w:left w:val="nil"/>
              <w:bottom w:val="single" w:sz="6" w:space="0" w:color="auto"/>
              <w:right w:val="single" w:sz="6" w:space="0" w:color="auto"/>
            </w:tcBorders>
            <w:vAlign w:val="center"/>
          </w:tcPr>
          <w:p w14:paraId="7DFBACA6" w14:textId="77777777" w:rsidR="00462DF5" w:rsidRPr="00956F2B" w:rsidRDefault="00462DF5"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Vrsta usluge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3B1B4EB9" w14:textId="77777777" w:rsidR="00462DF5" w:rsidRPr="00956F2B" w:rsidRDefault="00666115"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Oročena štednja u domaćoj i stranoj valuti</w:t>
            </w:r>
            <w:r w:rsidR="002D5E54" w:rsidRPr="00956F2B">
              <w:rPr>
                <w:rFonts w:ascii="Arial" w:hAnsi="Arial" w:cs="Arial"/>
                <w:sz w:val="16"/>
                <w:szCs w:val="16"/>
                <w:lang w:val="hr-BA"/>
              </w:rPr>
              <w:t xml:space="preserve"> </w:t>
            </w:r>
            <w:r w:rsidR="00C51BA6" w:rsidRPr="00956F2B">
              <w:rPr>
                <w:rFonts w:ascii="Arial" w:hAnsi="Arial" w:cs="Arial"/>
                <w:sz w:val="16"/>
                <w:szCs w:val="16"/>
                <w:lang w:val="hr-BA"/>
              </w:rPr>
              <w:t>/ Nenamjenski oročeni depoziti</w:t>
            </w:r>
            <w:r w:rsidR="000A08F6" w:rsidRPr="00956F2B">
              <w:rPr>
                <w:rFonts w:ascii="Arial" w:hAnsi="Arial" w:cs="Arial"/>
                <w:sz w:val="16"/>
                <w:szCs w:val="16"/>
                <w:lang w:val="hr-BA"/>
              </w:rPr>
              <w:t xml:space="preserve"> - AKCIJSKA PONUDA</w:t>
            </w:r>
          </w:p>
        </w:tc>
      </w:tr>
      <w:tr w:rsidR="00462DF5" w:rsidRPr="00B7259E" w14:paraId="0D1CD1F2" w14:textId="77777777" w:rsidTr="009D7048">
        <w:tblPrEx>
          <w:tblCellMar>
            <w:top w:w="0" w:type="dxa"/>
            <w:bottom w:w="0" w:type="dxa"/>
          </w:tblCellMar>
        </w:tblPrEx>
        <w:trPr>
          <w:trHeight w:val="328"/>
        </w:trPr>
        <w:tc>
          <w:tcPr>
            <w:tcW w:w="515" w:type="dxa"/>
            <w:gridSpan w:val="2"/>
            <w:tcBorders>
              <w:top w:val="single" w:sz="6" w:space="0" w:color="auto"/>
              <w:left w:val="single" w:sz="6" w:space="0" w:color="auto"/>
              <w:bottom w:val="single" w:sz="6" w:space="0" w:color="auto"/>
              <w:right w:val="single" w:sz="6" w:space="0" w:color="auto"/>
            </w:tcBorders>
          </w:tcPr>
          <w:p w14:paraId="3E00ECEF" w14:textId="77777777" w:rsidR="00462DF5" w:rsidRPr="00B7259E" w:rsidRDefault="00462DF5"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2.</w:t>
            </w:r>
          </w:p>
        </w:tc>
        <w:tc>
          <w:tcPr>
            <w:tcW w:w="2290" w:type="dxa"/>
            <w:tcBorders>
              <w:top w:val="single" w:sz="6" w:space="0" w:color="auto"/>
              <w:left w:val="nil"/>
              <w:bottom w:val="single" w:sz="6" w:space="0" w:color="auto"/>
              <w:right w:val="single" w:sz="6" w:space="0" w:color="auto"/>
            </w:tcBorders>
          </w:tcPr>
          <w:p w14:paraId="448E5EB9" w14:textId="77777777" w:rsidR="00462DF5" w:rsidRPr="00956F2B" w:rsidRDefault="00462DF5"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Poslovno ime i adresa davaoca usluge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24D4A724" w14:textId="77777777" w:rsidR="00462DF5" w:rsidRPr="00956F2B" w:rsidRDefault="00A1331A"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rPr>
              <w:t>NLB Banka d.d.</w:t>
            </w:r>
            <w:r w:rsidR="008C3AA0" w:rsidRPr="00956F2B">
              <w:rPr>
                <w:rFonts w:ascii="Arial" w:hAnsi="Arial" w:cs="Arial"/>
                <w:sz w:val="16"/>
                <w:szCs w:val="16"/>
              </w:rPr>
              <w:t xml:space="preserve"> Sarajevo</w:t>
            </w:r>
            <w:r w:rsidRPr="00956F2B">
              <w:rPr>
                <w:rFonts w:ascii="Arial" w:hAnsi="Arial" w:cs="Arial"/>
                <w:sz w:val="16"/>
                <w:szCs w:val="16"/>
              </w:rPr>
              <w:t>, Koševo br.</w:t>
            </w:r>
            <w:r w:rsidR="0015019C" w:rsidRPr="00956F2B">
              <w:rPr>
                <w:rFonts w:ascii="Arial" w:hAnsi="Arial" w:cs="Arial"/>
                <w:sz w:val="16"/>
                <w:szCs w:val="16"/>
              </w:rPr>
              <w:t xml:space="preserve"> </w:t>
            </w:r>
            <w:r w:rsidRPr="00956F2B">
              <w:rPr>
                <w:rFonts w:ascii="Arial" w:hAnsi="Arial" w:cs="Arial"/>
                <w:sz w:val="16"/>
                <w:szCs w:val="16"/>
              </w:rPr>
              <w:t>3</w:t>
            </w:r>
            <w:r w:rsidR="0015019C" w:rsidRPr="00956F2B">
              <w:rPr>
                <w:rFonts w:ascii="Arial" w:hAnsi="Arial" w:cs="Arial"/>
                <w:sz w:val="16"/>
                <w:szCs w:val="16"/>
              </w:rPr>
              <w:t>.</w:t>
            </w:r>
            <w:r w:rsidRPr="00956F2B">
              <w:rPr>
                <w:rFonts w:ascii="Arial" w:hAnsi="Arial" w:cs="Arial"/>
                <w:sz w:val="16"/>
                <w:szCs w:val="16"/>
              </w:rPr>
              <w:t>, 71000 Sarajevo</w:t>
            </w:r>
          </w:p>
        </w:tc>
      </w:tr>
      <w:tr w:rsidR="00910335" w:rsidRPr="00B7259E" w14:paraId="65CF7580" w14:textId="77777777" w:rsidTr="009D7048">
        <w:tblPrEx>
          <w:tblCellMar>
            <w:top w:w="0" w:type="dxa"/>
            <w:bottom w:w="0" w:type="dxa"/>
          </w:tblCellMar>
        </w:tblPrEx>
        <w:tc>
          <w:tcPr>
            <w:tcW w:w="515" w:type="dxa"/>
            <w:gridSpan w:val="2"/>
            <w:tcBorders>
              <w:top w:val="single" w:sz="6" w:space="0" w:color="auto"/>
              <w:left w:val="single" w:sz="6" w:space="0" w:color="auto"/>
              <w:bottom w:val="single" w:sz="6" w:space="0" w:color="auto"/>
              <w:right w:val="single" w:sz="6" w:space="0" w:color="auto"/>
            </w:tcBorders>
          </w:tcPr>
          <w:p w14:paraId="25AED76E" w14:textId="77777777" w:rsidR="00910335" w:rsidRPr="00B7259E" w:rsidRDefault="00910335"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3.</w:t>
            </w:r>
          </w:p>
        </w:tc>
        <w:tc>
          <w:tcPr>
            <w:tcW w:w="2290" w:type="dxa"/>
            <w:tcBorders>
              <w:top w:val="single" w:sz="6" w:space="0" w:color="auto"/>
              <w:left w:val="nil"/>
              <w:bottom w:val="single" w:sz="6" w:space="0" w:color="auto"/>
              <w:right w:val="single" w:sz="6" w:space="0" w:color="auto"/>
            </w:tcBorders>
          </w:tcPr>
          <w:p w14:paraId="3F8B5860" w14:textId="77777777" w:rsidR="00910335" w:rsidRPr="00956F2B" w:rsidRDefault="00666115"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Oročena štednja u domaćoj i stranoj valuti</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CA244E" w14:textId="77777777" w:rsidR="00956F2B" w:rsidRPr="00956F2B" w:rsidRDefault="00956F2B" w:rsidP="00956F2B">
            <w:pPr>
              <w:widowControl w:val="0"/>
              <w:autoSpaceDE w:val="0"/>
              <w:autoSpaceDN w:val="0"/>
              <w:adjustRightInd w:val="0"/>
              <w:spacing w:after="0"/>
              <w:jc w:val="both"/>
              <w:rPr>
                <w:rFonts w:ascii="Arial" w:hAnsi="Arial" w:cs="Arial"/>
                <w:color w:val="000000"/>
                <w:kern w:val="1"/>
                <w:sz w:val="16"/>
                <w:szCs w:val="16"/>
                <w:lang w:val="hr-BA" w:eastAsia="sr-Latn-CS"/>
              </w:rPr>
            </w:pPr>
            <w:r w:rsidRPr="00956F2B">
              <w:rPr>
                <w:rFonts w:ascii="Arial" w:hAnsi="Arial" w:cs="Arial"/>
                <w:color w:val="000000"/>
                <w:kern w:val="1"/>
                <w:sz w:val="16"/>
                <w:szCs w:val="16"/>
                <w:lang w:val="hr-BA" w:eastAsia="sr-Latn-CS"/>
              </w:rPr>
              <w:t>Banka oročava štedne depozite po akcijskoj ponudi u: domaćoj valuti i u EUR valuti.</w:t>
            </w:r>
          </w:p>
          <w:p w14:paraId="68DF9E79" w14:textId="77777777" w:rsidR="00CC108F" w:rsidRPr="00956F2B" w:rsidRDefault="00956F2B" w:rsidP="00956F2B">
            <w:pPr>
              <w:widowControl w:val="0"/>
              <w:autoSpaceDE w:val="0"/>
              <w:autoSpaceDN w:val="0"/>
              <w:adjustRightInd w:val="0"/>
              <w:spacing w:after="0"/>
              <w:jc w:val="both"/>
              <w:rPr>
                <w:rFonts w:ascii="Arial" w:hAnsi="Arial" w:cs="Arial"/>
                <w:sz w:val="16"/>
                <w:szCs w:val="16"/>
                <w:lang w:val="hr-BA"/>
              </w:rPr>
            </w:pPr>
            <w:r w:rsidRPr="00956F2B">
              <w:rPr>
                <w:rFonts w:ascii="Arial" w:hAnsi="Arial" w:cs="Arial"/>
                <w:kern w:val="1"/>
                <w:sz w:val="16"/>
                <w:szCs w:val="16"/>
                <w:lang w:val="hr-BA" w:eastAsia="sr-Latn-CS"/>
              </w:rPr>
              <w:t xml:space="preserve">Oročeni depoziti u domaćoj valuti se ugovaraju sa valutnom klauzulom </w:t>
            </w:r>
            <w:r w:rsidRPr="00956F2B">
              <w:rPr>
                <w:rFonts w:ascii="Arial" w:hAnsi="Arial" w:cs="Arial"/>
                <w:sz w:val="16"/>
                <w:szCs w:val="16"/>
              </w:rPr>
              <w:t>u EUR valuti. Ukoliko u toku trajanja Ugovora, kod oročenog depozita sa valutnom klauzulom dođe, do promjene kursa KM u odnosu na EUR, Banka će po proteku ugovorenog roka oročavanja ili u slučaju razročenja oročenog depozita iskazanog u EUR-ima isplatu izvršiti u KM protuvrijednosti, prema važećem srednjem kursu za EUR Centralne Banke BiH na dan isplate.</w:t>
            </w:r>
          </w:p>
        </w:tc>
      </w:tr>
      <w:tr w:rsidR="00ED1663" w:rsidRPr="00B7259E" w14:paraId="3C6872BD" w14:textId="77777777" w:rsidTr="00956F2B">
        <w:tblPrEx>
          <w:tblCellMar>
            <w:top w:w="0" w:type="dxa"/>
            <w:bottom w:w="0" w:type="dxa"/>
          </w:tblCellMar>
        </w:tblPrEx>
        <w:trPr>
          <w:trHeight w:val="3926"/>
        </w:trPr>
        <w:tc>
          <w:tcPr>
            <w:tcW w:w="515" w:type="dxa"/>
            <w:gridSpan w:val="2"/>
            <w:tcBorders>
              <w:top w:val="single" w:sz="6" w:space="0" w:color="auto"/>
              <w:left w:val="single" w:sz="6" w:space="0" w:color="auto"/>
              <w:bottom w:val="single" w:sz="6" w:space="0" w:color="auto"/>
              <w:right w:val="single" w:sz="6" w:space="0" w:color="auto"/>
            </w:tcBorders>
          </w:tcPr>
          <w:p w14:paraId="62DB9EC4" w14:textId="77777777" w:rsidR="00ED1663" w:rsidRPr="00B7259E" w:rsidRDefault="00ED1663"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4.</w:t>
            </w:r>
          </w:p>
        </w:tc>
        <w:tc>
          <w:tcPr>
            <w:tcW w:w="2290" w:type="dxa"/>
            <w:tcBorders>
              <w:top w:val="single" w:sz="6" w:space="0" w:color="auto"/>
              <w:left w:val="nil"/>
              <w:bottom w:val="single" w:sz="6" w:space="0" w:color="auto"/>
              <w:right w:val="single" w:sz="6" w:space="0" w:color="auto"/>
            </w:tcBorders>
          </w:tcPr>
          <w:p w14:paraId="1E66BB4B" w14:textId="77777777" w:rsidR="00ED1663" w:rsidRPr="00956F2B" w:rsidRDefault="00666115"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Ročnost i kamatne stope oročene štednje</w:t>
            </w:r>
            <w:r w:rsidR="00CC108F" w:rsidRPr="00956F2B">
              <w:rPr>
                <w:rFonts w:ascii="Arial" w:hAnsi="Arial" w:cs="Arial"/>
                <w:sz w:val="16"/>
                <w:szCs w:val="16"/>
                <w:lang w:val="hr-BA"/>
              </w:rPr>
              <w:t xml:space="preserve"> </w:t>
            </w:r>
            <w:r w:rsidR="003469EB" w:rsidRPr="00956F2B">
              <w:rPr>
                <w:rFonts w:ascii="Arial" w:hAnsi="Arial" w:cs="Arial"/>
                <w:sz w:val="16"/>
                <w:szCs w:val="16"/>
                <w:lang w:val="hr-BA"/>
              </w:rPr>
              <w:t>po akcijskim uslovima</w:t>
            </w:r>
          </w:p>
          <w:p w14:paraId="662BE9E9" w14:textId="77777777" w:rsidR="009C6977" w:rsidRPr="00956F2B" w:rsidRDefault="009C6977" w:rsidP="00956F2B">
            <w:pPr>
              <w:autoSpaceDE w:val="0"/>
              <w:autoSpaceDN w:val="0"/>
              <w:adjustRightInd w:val="0"/>
              <w:spacing w:after="0"/>
              <w:jc w:val="both"/>
              <w:rPr>
                <w:rFonts w:ascii="Arial" w:hAnsi="Arial" w:cs="Arial"/>
                <w:sz w:val="16"/>
                <w:szCs w:val="16"/>
                <w:lang w:val="hr-BA"/>
              </w:rPr>
            </w:pPr>
          </w:p>
          <w:p w14:paraId="3DB97C4B" w14:textId="77777777" w:rsidR="009C6977" w:rsidRPr="00956F2B" w:rsidRDefault="009C6977" w:rsidP="00956F2B">
            <w:pPr>
              <w:autoSpaceDE w:val="0"/>
              <w:autoSpaceDN w:val="0"/>
              <w:adjustRightInd w:val="0"/>
              <w:spacing w:after="0"/>
              <w:jc w:val="both"/>
              <w:rPr>
                <w:rFonts w:ascii="Arial" w:hAnsi="Arial" w:cs="Arial"/>
                <w:sz w:val="16"/>
                <w:szCs w:val="16"/>
                <w:lang w:val="hr-BA"/>
              </w:rPr>
            </w:pPr>
          </w:p>
          <w:p w14:paraId="0FE20B43" w14:textId="77777777" w:rsidR="009C6977" w:rsidRPr="00956F2B" w:rsidRDefault="009C6977" w:rsidP="00956F2B">
            <w:pPr>
              <w:autoSpaceDE w:val="0"/>
              <w:autoSpaceDN w:val="0"/>
              <w:adjustRightInd w:val="0"/>
              <w:spacing w:after="0"/>
              <w:jc w:val="both"/>
              <w:rPr>
                <w:rFonts w:ascii="Arial" w:hAnsi="Arial" w:cs="Arial"/>
                <w:sz w:val="16"/>
                <w:szCs w:val="16"/>
                <w:lang w:val="hr-BA"/>
              </w:rPr>
            </w:pPr>
          </w:p>
          <w:p w14:paraId="6DD6BDCA" w14:textId="77777777" w:rsidR="009C6977" w:rsidRPr="00956F2B" w:rsidRDefault="009C6977" w:rsidP="00956F2B">
            <w:pPr>
              <w:autoSpaceDE w:val="0"/>
              <w:autoSpaceDN w:val="0"/>
              <w:adjustRightInd w:val="0"/>
              <w:spacing w:after="0"/>
              <w:jc w:val="both"/>
              <w:rPr>
                <w:rFonts w:ascii="Arial" w:hAnsi="Arial" w:cs="Arial"/>
                <w:sz w:val="16"/>
                <w:szCs w:val="16"/>
                <w:lang w:val="hr-BA"/>
              </w:rPr>
            </w:pPr>
          </w:p>
          <w:p w14:paraId="623BCDEA" w14:textId="77777777" w:rsidR="009C6977" w:rsidRPr="00956F2B" w:rsidRDefault="009C6977" w:rsidP="00956F2B">
            <w:pPr>
              <w:autoSpaceDE w:val="0"/>
              <w:autoSpaceDN w:val="0"/>
              <w:adjustRightInd w:val="0"/>
              <w:spacing w:after="0"/>
              <w:jc w:val="both"/>
              <w:rPr>
                <w:rFonts w:ascii="Arial" w:hAnsi="Arial" w:cs="Arial"/>
                <w:sz w:val="16"/>
                <w:szCs w:val="16"/>
                <w:lang w:val="hr-BA"/>
              </w:rPr>
            </w:pP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577AA0" w14:textId="77777777" w:rsidR="00956F2B" w:rsidRPr="00956F2B" w:rsidRDefault="00956F2B" w:rsidP="00956F2B">
            <w:pPr>
              <w:widowControl w:val="0"/>
              <w:autoSpaceDE w:val="0"/>
              <w:autoSpaceDN w:val="0"/>
              <w:adjustRightInd w:val="0"/>
              <w:spacing w:after="0"/>
              <w:jc w:val="both"/>
              <w:rPr>
                <w:rFonts w:ascii="Arial" w:hAnsi="Arial" w:cs="Arial"/>
                <w:kern w:val="1"/>
                <w:sz w:val="16"/>
                <w:szCs w:val="16"/>
                <w:lang w:val="hr-BA" w:eastAsia="sr-Latn-CS"/>
              </w:rPr>
            </w:pPr>
            <w:r w:rsidRPr="00956F2B">
              <w:rPr>
                <w:rFonts w:ascii="Arial" w:hAnsi="Arial" w:cs="Arial"/>
                <w:kern w:val="1"/>
                <w:sz w:val="16"/>
                <w:szCs w:val="16"/>
                <w:lang w:val="hr-BA" w:eastAsia="sr-Latn-CS"/>
              </w:rPr>
              <w:t>Ročnost za određivanje kamatne stope na oročenu štednju utvrđuje se na bazi kalendara.</w:t>
            </w:r>
          </w:p>
          <w:p w14:paraId="56082630" w14:textId="77777777" w:rsidR="00956F2B" w:rsidRPr="00956F2B" w:rsidRDefault="00956F2B" w:rsidP="00956F2B">
            <w:pPr>
              <w:spacing w:after="0"/>
              <w:jc w:val="both"/>
              <w:rPr>
                <w:rFonts w:ascii="Arial" w:hAnsi="Arial" w:cs="Arial"/>
                <w:sz w:val="16"/>
                <w:szCs w:val="16"/>
                <w:lang w:eastAsia="en-US"/>
              </w:rPr>
            </w:pPr>
            <w:r w:rsidRPr="00956F2B">
              <w:rPr>
                <w:rFonts w:ascii="Arial" w:hAnsi="Arial" w:cs="Arial"/>
                <w:sz w:val="16"/>
                <w:szCs w:val="16"/>
                <w:lang w:eastAsia="en-US"/>
              </w:rPr>
              <w:t xml:space="preserve">Depozit po akcijskim uslovima se oročava na periode: 13,18, 25, 37 i 49 mjeseci sa mogućnosti ugovaranja „sa“ i „bez“ automatskog reoročavanja. Stimulativne uslove nenamjenski oročenih depozita namjenjeni su novim i postojećim klijentima NLB banke d.d., Sarajevo, uključujući korisnike </w:t>
            </w:r>
            <w:r w:rsidRPr="00956F2B">
              <w:rPr>
                <w:rFonts w:ascii="Arial" w:hAnsi="Arial" w:cs="Arial"/>
                <w:sz w:val="16"/>
                <w:szCs w:val="16"/>
                <w:lang w:val="hr-BA" w:eastAsia="en-US"/>
              </w:rPr>
              <w:t>NLB Classic+ paketa i NLB Zlatni  paket</w:t>
            </w:r>
            <w:r w:rsidRPr="00956F2B">
              <w:rPr>
                <w:rFonts w:ascii="Arial" w:hAnsi="Arial" w:cs="Arial"/>
                <w:sz w:val="16"/>
                <w:szCs w:val="16"/>
              </w:rPr>
              <w:t xml:space="preserve"> i korisnike depozita koji ističu u periodu akcije, a ugovoreni su sa klauzulom „bez automatskog reoročenja“. Akcijski uslovi nisu primjenljivi na postojeće ugovora o depozitima sa automatskim reoročenjem, te će se reoročavati po kamatnim stopama definisanim Odlukom o kamatnim stopama NLB banke d.d. Sarajevo</w:t>
            </w:r>
            <w:r w:rsidRPr="00956F2B">
              <w:rPr>
                <w:rFonts w:ascii="Arial" w:hAnsi="Arial" w:cs="Arial"/>
                <w:sz w:val="16"/>
                <w:szCs w:val="16"/>
                <w:lang w:val="hr-BA" w:eastAsia="en-US"/>
              </w:rPr>
              <w:t>.</w:t>
            </w:r>
            <w:r w:rsidRPr="00956F2B">
              <w:rPr>
                <w:rFonts w:ascii="Arial" w:hAnsi="Arial" w:cs="Arial"/>
                <w:sz w:val="16"/>
                <w:szCs w:val="16"/>
                <w:lang w:eastAsia="en-US"/>
              </w:rPr>
              <w:t xml:space="preserve"> Minimalni iznos oročenja iznos 10,00 KM ili protuvrijednost u EUR valuti, a maksimalni iznos nije ograničen.</w:t>
            </w:r>
          </w:p>
          <w:p w14:paraId="11ADE604" w14:textId="77777777" w:rsidR="006326A4" w:rsidRPr="00956F2B" w:rsidRDefault="006326A4" w:rsidP="00956F2B">
            <w:pPr>
              <w:spacing w:after="0"/>
              <w:jc w:val="both"/>
              <w:rPr>
                <w:rFonts w:ascii="Arial" w:hAnsi="Arial" w:cs="Arial"/>
                <w:sz w:val="16"/>
                <w:szCs w:val="16"/>
                <w:lang w:eastAsia="en-US"/>
              </w:rPr>
            </w:pPr>
          </w:p>
          <w:p w14:paraId="575DF47A" w14:textId="77777777" w:rsidR="00427293" w:rsidRPr="00956F2B" w:rsidRDefault="00844F9D" w:rsidP="00956F2B">
            <w:pPr>
              <w:spacing w:after="0"/>
              <w:jc w:val="both"/>
              <w:rPr>
                <w:rFonts w:ascii="Arial" w:hAnsi="Arial" w:cs="Arial"/>
                <w:sz w:val="16"/>
                <w:szCs w:val="16"/>
                <w:lang w:val="hr-BA" w:eastAsia="en-US"/>
              </w:rPr>
            </w:pPr>
            <w:r w:rsidRPr="00956F2B">
              <w:rPr>
                <w:rFonts w:ascii="Arial" w:hAnsi="Arial" w:cs="Arial"/>
                <w:sz w:val="16"/>
                <w:szCs w:val="16"/>
                <w:lang w:val="hr-BA" w:eastAsia="en-US"/>
              </w:rPr>
              <w:t xml:space="preserve">Nominalne i efektivne kamatne stope na </w:t>
            </w:r>
            <w:r w:rsidR="008570EB" w:rsidRPr="00956F2B">
              <w:rPr>
                <w:rFonts w:ascii="Arial" w:hAnsi="Arial" w:cs="Arial"/>
                <w:sz w:val="16"/>
                <w:szCs w:val="16"/>
                <w:lang w:val="hr-BA" w:eastAsia="en-US"/>
              </w:rPr>
              <w:t xml:space="preserve">nenamjenski oročene štedne uloge </w:t>
            </w:r>
            <w:r w:rsidRPr="00956F2B">
              <w:rPr>
                <w:rFonts w:ascii="Arial" w:hAnsi="Arial" w:cs="Arial"/>
                <w:sz w:val="16"/>
                <w:szCs w:val="16"/>
                <w:lang w:val="hr-BA" w:eastAsia="en-US"/>
              </w:rPr>
              <w:t xml:space="preserve">u KM i EUR valuti </w:t>
            </w:r>
            <w:r w:rsidR="00CE2E28" w:rsidRPr="00956F2B">
              <w:rPr>
                <w:rFonts w:ascii="Arial" w:hAnsi="Arial" w:cs="Arial"/>
                <w:sz w:val="16"/>
                <w:szCs w:val="16"/>
                <w:lang w:val="hr-BA" w:eastAsia="en-US"/>
              </w:rPr>
              <w:t>:</w:t>
            </w:r>
            <w:r w:rsidRPr="00956F2B">
              <w:rPr>
                <w:rFonts w:ascii="Arial" w:hAnsi="Arial" w:cs="Arial"/>
                <w:sz w:val="16"/>
                <w:szCs w:val="16"/>
                <w:lang w:val="hr-BA" w:eastAsia="en-US"/>
              </w:rPr>
              <w:t xml:space="preserve"> </w:t>
            </w:r>
          </w:p>
          <w:tbl>
            <w:tblPr>
              <w:tblW w:w="7832" w:type="dxa"/>
              <w:tblLayout w:type="fixed"/>
              <w:tblLook w:val="04A0" w:firstRow="1" w:lastRow="0" w:firstColumn="1" w:lastColumn="0" w:noHBand="0" w:noVBand="1"/>
            </w:tblPr>
            <w:tblGrid>
              <w:gridCol w:w="2303"/>
              <w:gridCol w:w="1134"/>
              <w:gridCol w:w="1134"/>
              <w:gridCol w:w="1093"/>
              <w:gridCol w:w="1153"/>
              <w:gridCol w:w="1015"/>
            </w:tblGrid>
            <w:tr w:rsidR="009D7048" w:rsidRPr="00956F2B" w14:paraId="0C13EBB6" w14:textId="77777777" w:rsidTr="00CA77AC">
              <w:trPr>
                <w:trHeight w:val="365"/>
              </w:trPr>
              <w:tc>
                <w:tcPr>
                  <w:tcW w:w="2303"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4A78E208"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Iznos oročenja u KM/EUR valuti / period oročenja u mjesecima</w:t>
                  </w:r>
                </w:p>
              </w:tc>
              <w:tc>
                <w:tcPr>
                  <w:tcW w:w="1134" w:type="dxa"/>
                  <w:tcBorders>
                    <w:top w:val="single" w:sz="8" w:space="0" w:color="auto"/>
                    <w:bottom w:val="single" w:sz="4" w:space="0" w:color="auto"/>
                    <w:right w:val="single" w:sz="4" w:space="0" w:color="auto"/>
                  </w:tcBorders>
                  <w:shd w:val="clear" w:color="auto" w:fill="F2F2F2" w:themeFill="background1" w:themeFillShade="F2"/>
                  <w:vAlign w:val="center"/>
                  <w:hideMark/>
                </w:tcPr>
                <w:p w14:paraId="1A843476"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13</w:t>
                  </w:r>
                </w:p>
              </w:tc>
              <w:tc>
                <w:tcPr>
                  <w:tcW w:w="1134" w:type="dxa"/>
                  <w:tcBorders>
                    <w:top w:val="single" w:sz="8" w:space="0" w:color="auto"/>
                    <w:bottom w:val="single" w:sz="4" w:space="0" w:color="auto"/>
                    <w:right w:val="single" w:sz="4" w:space="0" w:color="auto"/>
                  </w:tcBorders>
                  <w:shd w:val="clear" w:color="auto" w:fill="F2F2F2" w:themeFill="background1" w:themeFillShade="F2"/>
                  <w:vAlign w:val="center"/>
                  <w:hideMark/>
                </w:tcPr>
                <w:p w14:paraId="5CDD4764"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18</w:t>
                  </w:r>
                </w:p>
              </w:tc>
              <w:tc>
                <w:tcPr>
                  <w:tcW w:w="1093" w:type="dxa"/>
                  <w:tcBorders>
                    <w:top w:val="single" w:sz="8" w:space="0" w:color="auto"/>
                    <w:bottom w:val="single" w:sz="4" w:space="0" w:color="auto"/>
                    <w:right w:val="single" w:sz="4" w:space="0" w:color="auto"/>
                  </w:tcBorders>
                  <w:shd w:val="clear" w:color="auto" w:fill="F2F2F2" w:themeFill="background1" w:themeFillShade="F2"/>
                  <w:vAlign w:val="center"/>
                  <w:hideMark/>
                </w:tcPr>
                <w:p w14:paraId="3008ADD5"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25</w:t>
                  </w:r>
                </w:p>
              </w:tc>
              <w:tc>
                <w:tcPr>
                  <w:tcW w:w="1153" w:type="dxa"/>
                  <w:tcBorders>
                    <w:top w:val="single" w:sz="8" w:space="0" w:color="auto"/>
                    <w:bottom w:val="single" w:sz="4" w:space="0" w:color="auto"/>
                    <w:right w:val="single" w:sz="8" w:space="0" w:color="auto"/>
                  </w:tcBorders>
                  <w:shd w:val="clear" w:color="auto" w:fill="F2F2F2" w:themeFill="background1" w:themeFillShade="F2"/>
                  <w:vAlign w:val="center"/>
                  <w:hideMark/>
                </w:tcPr>
                <w:p w14:paraId="58018A70"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37</w:t>
                  </w:r>
                </w:p>
              </w:tc>
              <w:tc>
                <w:tcPr>
                  <w:tcW w:w="1015" w:type="dxa"/>
                  <w:tcBorders>
                    <w:top w:val="single" w:sz="8" w:space="0" w:color="auto"/>
                    <w:bottom w:val="single" w:sz="4" w:space="0" w:color="auto"/>
                    <w:right w:val="single" w:sz="8" w:space="0" w:color="auto"/>
                  </w:tcBorders>
                  <w:shd w:val="clear" w:color="auto" w:fill="F2F2F2" w:themeFill="background1" w:themeFillShade="F2"/>
                  <w:vAlign w:val="center"/>
                </w:tcPr>
                <w:p w14:paraId="4E28BE28"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49</w:t>
                  </w:r>
                </w:p>
              </w:tc>
            </w:tr>
            <w:tr w:rsidR="009D7048" w:rsidRPr="00956F2B" w14:paraId="1A89DFD4" w14:textId="77777777" w:rsidTr="009D7048">
              <w:trPr>
                <w:trHeight w:val="361"/>
              </w:trPr>
              <w:tc>
                <w:tcPr>
                  <w:tcW w:w="2303" w:type="dxa"/>
                  <w:tcBorders>
                    <w:left w:val="single" w:sz="8" w:space="0" w:color="auto"/>
                    <w:bottom w:val="single" w:sz="4" w:space="0" w:color="auto"/>
                    <w:right w:val="single" w:sz="4" w:space="0" w:color="auto"/>
                  </w:tcBorders>
                  <w:vAlign w:val="center"/>
                  <w:hideMark/>
                </w:tcPr>
                <w:p w14:paraId="73465D29"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Za sve iznose oročenja</w:t>
                  </w:r>
                </w:p>
              </w:tc>
              <w:tc>
                <w:tcPr>
                  <w:tcW w:w="1134" w:type="dxa"/>
                  <w:tcBorders>
                    <w:bottom w:val="single" w:sz="4" w:space="0" w:color="auto"/>
                    <w:right w:val="single" w:sz="4" w:space="0" w:color="auto"/>
                  </w:tcBorders>
                  <w:vAlign w:val="center"/>
                  <w:hideMark/>
                </w:tcPr>
                <w:p w14:paraId="6D70E900"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1,60%</w:t>
                  </w:r>
                </w:p>
              </w:tc>
              <w:tc>
                <w:tcPr>
                  <w:tcW w:w="1134" w:type="dxa"/>
                  <w:tcBorders>
                    <w:bottom w:val="single" w:sz="4" w:space="0" w:color="auto"/>
                    <w:right w:val="single" w:sz="4" w:space="0" w:color="auto"/>
                  </w:tcBorders>
                  <w:vAlign w:val="center"/>
                  <w:hideMark/>
                </w:tcPr>
                <w:p w14:paraId="1FA78FA0"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1,</w:t>
                  </w:r>
                  <w:r w:rsidR="006773CD" w:rsidRPr="00956F2B">
                    <w:rPr>
                      <w:rFonts w:ascii="Arial" w:hAnsi="Arial" w:cs="Arial"/>
                      <w:sz w:val="16"/>
                      <w:szCs w:val="16"/>
                    </w:rPr>
                    <w:t>8</w:t>
                  </w:r>
                  <w:r w:rsidRPr="00956F2B">
                    <w:rPr>
                      <w:rFonts w:ascii="Arial" w:hAnsi="Arial" w:cs="Arial"/>
                      <w:sz w:val="16"/>
                      <w:szCs w:val="16"/>
                    </w:rPr>
                    <w:t>0%</w:t>
                  </w:r>
                </w:p>
              </w:tc>
              <w:tc>
                <w:tcPr>
                  <w:tcW w:w="1093" w:type="dxa"/>
                  <w:tcBorders>
                    <w:bottom w:val="single" w:sz="4" w:space="0" w:color="auto"/>
                    <w:right w:val="single" w:sz="4" w:space="0" w:color="auto"/>
                  </w:tcBorders>
                  <w:vAlign w:val="center"/>
                  <w:hideMark/>
                </w:tcPr>
                <w:p w14:paraId="7A3DB2E1"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2,</w:t>
                  </w:r>
                  <w:r w:rsidR="006773CD" w:rsidRPr="00956F2B">
                    <w:rPr>
                      <w:rFonts w:ascii="Arial" w:hAnsi="Arial" w:cs="Arial"/>
                      <w:sz w:val="16"/>
                      <w:szCs w:val="16"/>
                    </w:rPr>
                    <w:t>0</w:t>
                  </w:r>
                  <w:r w:rsidRPr="00956F2B">
                    <w:rPr>
                      <w:rFonts w:ascii="Arial" w:hAnsi="Arial" w:cs="Arial"/>
                      <w:sz w:val="16"/>
                      <w:szCs w:val="16"/>
                    </w:rPr>
                    <w:t>0%</w:t>
                  </w:r>
                </w:p>
              </w:tc>
              <w:tc>
                <w:tcPr>
                  <w:tcW w:w="1153" w:type="dxa"/>
                  <w:tcBorders>
                    <w:bottom w:val="single" w:sz="4" w:space="0" w:color="auto"/>
                    <w:right w:val="single" w:sz="8" w:space="0" w:color="auto"/>
                  </w:tcBorders>
                  <w:vAlign w:val="center"/>
                  <w:hideMark/>
                </w:tcPr>
                <w:p w14:paraId="2C046610"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2,</w:t>
                  </w:r>
                  <w:r w:rsidR="006773CD" w:rsidRPr="00956F2B">
                    <w:rPr>
                      <w:rFonts w:ascii="Arial" w:hAnsi="Arial" w:cs="Arial"/>
                      <w:sz w:val="16"/>
                      <w:szCs w:val="16"/>
                    </w:rPr>
                    <w:t>20</w:t>
                  </w:r>
                  <w:r w:rsidRPr="00956F2B">
                    <w:rPr>
                      <w:rFonts w:ascii="Arial" w:hAnsi="Arial" w:cs="Arial"/>
                      <w:sz w:val="16"/>
                      <w:szCs w:val="16"/>
                    </w:rPr>
                    <w:t>%</w:t>
                  </w:r>
                </w:p>
              </w:tc>
              <w:tc>
                <w:tcPr>
                  <w:tcW w:w="1015" w:type="dxa"/>
                  <w:tcBorders>
                    <w:bottom w:val="single" w:sz="4" w:space="0" w:color="auto"/>
                    <w:right w:val="single" w:sz="8" w:space="0" w:color="auto"/>
                  </w:tcBorders>
                  <w:vAlign w:val="center"/>
                </w:tcPr>
                <w:p w14:paraId="3FCC4543" w14:textId="77777777" w:rsidR="009D7048" w:rsidRPr="00956F2B" w:rsidRDefault="009D7048" w:rsidP="00956F2B">
                  <w:pPr>
                    <w:spacing w:after="0"/>
                    <w:jc w:val="center"/>
                    <w:rPr>
                      <w:rFonts w:ascii="Arial" w:hAnsi="Arial" w:cs="Arial"/>
                      <w:sz w:val="16"/>
                      <w:szCs w:val="16"/>
                    </w:rPr>
                  </w:pPr>
                  <w:r w:rsidRPr="00956F2B">
                    <w:rPr>
                      <w:rFonts w:ascii="Arial" w:hAnsi="Arial" w:cs="Arial"/>
                      <w:sz w:val="16"/>
                      <w:szCs w:val="16"/>
                    </w:rPr>
                    <w:t>2,</w:t>
                  </w:r>
                  <w:r w:rsidR="006773CD" w:rsidRPr="00956F2B">
                    <w:rPr>
                      <w:rFonts w:ascii="Arial" w:hAnsi="Arial" w:cs="Arial"/>
                      <w:sz w:val="16"/>
                      <w:szCs w:val="16"/>
                    </w:rPr>
                    <w:t>3</w:t>
                  </w:r>
                  <w:r w:rsidRPr="00956F2B">
                    <w:rPr>
                      <w:rFonts w:ascii="Arial" w:hAnsi="Arial" w:cs="Arial"/>
                      <w:sz w:val="16"/>
                      <w:szCs w:val="16"/>
                    </w:rPr>
                    <w:t>0%</w:t>
                  </w:r>
                </w:p>
              </w:tc>
            </w:tr>
            <w:tr w:rsidR="006773CD" w:rsidRPr="00956F2B" w14:paraId="7E79D909" w14:textId="77777777" w:rsidTr="009D7048">
              <w:trPr>
                <w:trHeight w:val="244"/>
              </w:trPr>
              <w:tc>
                <w:tcPr>
                  <w:tcW w:w="2303" w:type="dxa"/>
                  <w:tcBorders>
                    <w:left w:val="single" w:sz="8" w:space="0" w:color="auto"/>
                    <w:bottom w:val="single" w:sz="8" w:space="0" w:color="auto"/>
                    <w:right w:val="single" w:sz="4" w:space="0" w:color="auto"/>
                  </w:tcBorders>
                  <w:vAlign w:val="bottom"/>
                  <w:hideMark/>
                </w:tcPr>
                <w:p w14:paraId="365C7C3E" w14:textId="77777777" w:rsidR="006773CD" w:rsidRPr="00956F2B" w:rsidRDefault="006773CD" w:rsidP="00956F2B">
                  <w:pPr>
                    <w:spacing w:after="0"/>
                    <w:rPr>
                      <w:rFonts w:ascii="Arial" w:hAnsi="Arial" w:cs="Arial"/>
                      <w:sz w:val="16"/>
                      <w:szCs w:val="16"/>
                    </w:rPr>
                  </w:pPr>
                  <w:r w:rsidRPr="00956F2B">
                    <w:rPr>
                      <w:rFonts w:ascii="Arial" w:hAnsi="Arial" w:cs="Arial"/>
                      <w:sz w:val="16"/>
                      <w:szCs w:val="16"/>
                    </w:rPr>
                    <w:t>Efektivna kamamatna stopa - EKS</w:t>
                  </w:r>
                </w:p>
              </w:tc>
              <w:tc>
                <w:tcPr>
                  <w:tcW w:w="1134" w:type="dxa"/>
                  <w:tcBorders>
                    <w:bottom w:val="single" w:sz="8" w:space="0" w:color="auto"/>
                    <w:right w:val="single" w:sz="4" w:space="0" w:color="auto"/>
                  </w:tcBorders>
                  <w:vAlign w:val="center"/>
                  <w:hideMark/>
                </w:tcPr>
                <w:p w14:paraId="15172128" w14:textId="77777777" w:rsidR="006773CD" w:rsidRPr="00956F2B" w:rsidRDefault="006773CD" w:rsidP="00956F2B">
                  <w:pPr>
                    <w:spacing w:after="0"/>
                    <w:jc w:val="center"/>
                    <w:rPr>
                      <w:rFonts w:ascii="Arial" w:hAnsi="Arial" w:cs="Arial"/>
                      <w:sz w:val="16"/>
                      <w:szCs w:val="16"/>
                    </w:rPr>
                  </w:pPr>
                  <w:r w:rsidRPr="00956F2B">
                    <w:rPr>
                      <w:rFonts w:ascii="Arial" w:hAnsi="Arial" w:cs="Arial"/>
                      <w:sz w:val="16"/>
                      <w:szCs w:val="16"/>
                    </w:rPr>
                    <w:t>1,60%</w:t>
                  </w:r>
                </w:p>
              </w:tc>
              <w:tc>
                <w:tcPr>
                  <w:tcW w:w="1134" w:type="dxa"/>
                  <w:tcBorders>
                    <w:bottom w:val="single" w:sz="8" w:space="0" w:color="auto"/>
                    <w:right w:val="single" w:sz="4" w:space="0" w:color="auto"/>
                  </w:tcBorders>
                  <w:vAlign w:val="center"/>
                  <w:hideMark/>
                </w:tcPr>
                <w:p w14:paraId="335FABB6" w14:textId="77777777" w:rsidR="006773CD" w:rsidRPr="00956F2B" w:rsidRDefault="006773CD" w:rsidP="00956F2B">
                  <w:pPr>
                    <w:spacing w:after="0"/>
                    <w:jc w:val="center"/>
                    <w:rPr>
                      <w:rFonts w:ascii="Arial" w:hAnsi="Arial" w:cs="Arial"/>
                      <w:sz w:val="16"/>
                      <w:szCs w:val="16"/>
                    </w:rPr>
                  </w:pPr>
                  <w:r w:rsidRPr="00956F2B">
                    <w:rPr>
                      <w:rFonts w:ascii="Arial" w:hAnsi="Arial" w:cs="Arial"/>
                      <w:sz w:val="16"/>
                      <w:szCs w:val="16"/>
                    </w:rPr>
                    <w:t>1,80%</w:t>
                  </w:r>
                </w:p>
              </w:tc>
              <w:tc>
                <w:tcPr>
                  <w:tcW w:w="1093" w:type="dxa"/>
                  <w:tcBorders>
                    <w:bottom w:val="single" w:sz="8" w:space="0" w:color="auto"/>
                    <w:right w:val="single" w:sz="4" w:space="0" w:color="auto"/>
                  </w:tcBorders>
                  <w:vAlign w:val="center"/>
                  <w:hideMark/>
                </w:tcPr>
                <w:p w14:paraId="784B3716" w14:textId="77777777" w:rsidR="006773CD" w:rsidRPr="00956F2B" w:rsidRDefault="006773CD" w:rsidP="00956F2B">
                  <w:pPr>
                    <w:spacing w:after="0"/>
                    <w:jc w:val="center"/>
                    <w:rPr>
                      <w:rFonts w:ascii="Arial" w:hAnsi="Arial" w:cs="Arial"/>
                      <w:sz w:val="16"/>
                      <w:szCs w:val="16"/>
                    </w:rPr>
                  </w:pPr>
                  <w:r w:rsidRPr="00956F2B">
                    <w:rPr>
                      <w:rFonts w:ascii="Arial" w:hAnsi="Arial" w:cs="Arial"/>
                      <w:sz w:val="16"/>
                      <w:szCs w:val="16"/>
                    </w:rPr>
                    <w:t>2,00%</w:t>
                  </w:r>
                </w:p>
              </w:tc>
              <w:tc>
                <w:tcPr>
                  <w:tcW w:w="1153" w:type="dxa"/>
                  <w:tcBorders>
                    <w:bottom w:val="single" w:sz="8" w:space="0" w:color="auto"/>
                    <w:right w:val="single" w:sz="8" w:space="0" w:color="auto"/>
                  </w:tcBorders>
                  <w:vAlign w:val="center"/>
                  <w:hideMark/>
                </w:tcPr>
                <w:p w14:paraId="788D3C40" w14:textId="77777777" w:rsidR="006773CD" w:rsidRPr="00956F2B" w:rsidRDefault="006773CD" w:rsidP="00956F2B">
                  <w:pPr>
                    <w:spacing w:after="0"/>
                    <w:jc w:val="center"/>
                    <w:rPr>
                      <w:rFonts w:ascii="Arial" w:hAnsi="Arial" w:cs="Arial"/>
                      <w:sz w:val="16"/>
                      <w:szCs w:val="16"/>
                    </w:rPr>
                  </w:pPr>
                  <w:r w:rsidRPr="00956F2B">
                    <w:rPr>
                      <w:rFonts w:ascii="Arial" w:hAnsi="Arial" w:cs="Arial"/>
                      <w:sz w:val="16"/>
                      <w:szCs w:val="16"/>
                    </w:rPr>
                    <w:t>2,20%</w:t>
                  </w:r>
                </w:p>
              </w:tc>
              <w:tc>
                <w:tcPr>
                  <w:tcW w:w="1015" w:type="dxa"/>
                  <w:tcBorders>
                    <w:bottom w:val="single" w:sz="8" w:space="0" w:color="auto"/>
                    <w:right w:val="single" w:sz="8" w:space="0" w:color="auto"/>
                  </w:tcBorders>
                  <w:vAlign w:val="center"/>
                </w:tcPr>
                <w:p w14:paraId="5D4D6DCA" w14:textId="77777777" w:rsidR="006773CD" w:rsidRPr="00956F2B" w:rsidRDefault="006773CD" w:rsidP="00956F2B">
                  <w:pPr>
                    <w:spacing w:after="0"/>
                    <w:jc w:val="center"/>
                    <w:rPr>
                      <w:rFonts w:ascii="Arial" w:hAnsi="Arial" w:cs="Arial"/>
                      <w:sz w:val="16"/>
                      <w:szCs w:val="16"/>
                    </w:rPr>
                  </w:pPr>
                  <w:r w:rsidRPr="00956F2B">
                    <w:rPr>
                      <w:rFonts w:ascii="Arial" w:hAnsi="Arial" w:cs="Arial"/>
                      <w:sz w:val="16"/>
                      <w:szCs w:val="16"/>
                    </w:rPr>
                    <w:t>2,30%</w:t>
                  </w:r>
                </w:p>
              </w:tc>
            </w:tr>
          </w:tbl>
          <w:p w14:paraId="23883BBC" w14:textId="77777777" w:rsidR="00ED1663" w:rsidRPr="00956F2B" w:rsidRDefault="00666115" w:rsidP="00956F2B">
            <w:pPr>
              <w:autoSpaceDE w:val="0"/>
              <w:autoSpaceDN w:val="0"/>
              <w:adjustRightInd w:val="0"/>
              <w:spacing w:after="0"/>
              <w:rPr>
                <w:rFonts w:ascii="Arial" w:hAnsi="Arial" w:cs="Arial"/>
                <w:noProof/>
                <w:sz w:val="16"/>
                <w:szCs w:val="16"/>
                <w:lang w:val="hr-BA"/>
              </w:rPr>
            </w:pPr>
            <w:r w:rsidRPr="00956F2B">
              <w:rPr>
                <w:rFonts w:ascii="Arial" w:hAnsi="Arial" w:cs="Arial"/>
                <w:sz w:val="16"/>
                <w:szCs w:val="16"/>
                <w:lang w:val="hr-BA" w:eastAsia="en-US"/>
              </w:rPr>
              <w:t xml:space="preserve">*  </w:t>
            </w:r>
            <w:r w:rsidR="00D4349B" w:rsidRPr="00956F2B">
              <w:rPr>
                <w:rFonts w:ascii="Arial" w:hAnsi="Arial" w:cs="Arial"/>
                <w:sz w:val="16"/>
                <w:szCs w:val="16"/>
                <w:lang w:val="hr-BA" w:eastAsia="en-US"/>
              </w:rPr>
              <w:t>EKS izračunata na iznos depozitu od 10.000,00 u valuti oročenja</w:t>
            </w:r>
          </w:p>
        </w:tc>
      </w:tr>
      <w:tr w:rsidR="00182BCB" w:rsidRPr="00B7259E" w14:paraId="22821977" w14:textId="77777777" w:rsidTr="009D7048">
        <w:tblPrEx>
          <w:tblCellMar>
            <w:top w:w="0" w:type="dxa"/>
            <w:bottom w:w="0" w:type="dxa"/>
          </w:tblCellMar>
        </w:tblPrEx>
        <w:trPr>
          <w:trHeight w:val="198"/>
        </w:trPr>
        <w:tc>
          <w:tcPr>
            <w:tcW w:w="515" w:type="dxa"/>
            <w:gridSpan w:val="2"/>
            <w:tcBorders>
              <w:top w:val="single" w:sz="6" w:space="0" w:color="auto"/>
              <w:left w:val="single" w:sz="6" w:space="0" w:color="auto"/>
              <w:bottom w:val="single" w:sz="6" w:space="0" w:color="auto"/>
              <w:right w:val="single" w:sz="6" w:space="0" w:color="auto"/>
            </w:tcBorders>
          </w:tcPr>
          <w:p w14:paraId="0E069587" w14:textId="77777777" w:rsidR="00182BCB" w:rsidRPr="00B7259E" w:rsidRDefault="00D4349B"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5</w:t>
            </w:r>
            <w:r w:rsidR="006A26ED" w:rsidRPr="00B7259E">
              <w:rPr>
                <w:rFonts w:ascii="Arial" w:hAnsi="Arial" w:cs="Arial"/>
                <w:sz w:val="16"/>
                <w:szCs w:val="16"/>
                <w:lang w:val="hr-BA"/>
              </w:rPr>
              <w:t>.</w:t>
            </w:r>
          </w:p>
        </w:tc>
        <w:tc>
          <w:tcPr>
            <w:tcW w:w="2290" w:type="dxa"/>
            <w:tcBorders>
              <w:top w:val="single" w:sz="6" w:space="0" w:color="auto"/>
              <w:left w:val="nil"/>
              <w:bottom w:val="single" w:sz="6" w:space="0" w:color="auto"/>
              <w:right w:val="single" w:sz="6" w:space="0" w:color="auto"/>
            </w:tcBorders>
          </w:tcPr>
          <w:p w14:paraId="2DA31FDB" w14:textId="77777777" w:rsidR="00182BCB" w:rsidRPr="00956F2B" w:rsidRDefault="00182BCB"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Vrsta kamatne stope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6609D6CB" w14:textId="77777777" w:rsidR="00182BCB" w:rsidRPr="00956F2B" w:rsidRDefault="002D5E54"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Fiksna kamatna stopa </w:t>
            </w:r>
            <w:r w:rsidR="00844F9D" w:rsidRPr="00956F2B">
              <w:rPr>
                <w:rFonts w:ascii="Arial" w:hAnsi="Arial" w:cs="Arial"/>
                <w:kern w:val="1"/>
                <w:sz w:val="16"/>
                <w:szCs w:val="16"/>
                <w:lang w:val="hr-BA" w:eastAsia="sr-Latn-CS"/>
              </w:rPr>
              <w:t xml:space="preserve"> izražen</w:t>
            </w:r>
            <w:r w:rsidRPr="00956F2B">
              <w:rPr>
                <w:rFonts w:ascii="Arial" w:hAnsi="Arial" w:cs="Arial"/>
                <w:kern w:val="1"/>
                <w:sz w:val="16"/>
                <w:szCs w:val="16"/>
                <w:lang w:val="hr-BA" w:eastAsia="sr-Latn-CS"/>
              </w:rPr>
              <w:t>a</w:t>
            </w:r>
            <w:r w:rsidR="00844F9D" w:rsidRPr="00956F2B">
              <w:rPr>
                <w:rFonts w:ascii="Arial" w:hAnsi="Arial" w:cs="Arial"/>
                <w:kern w:val="1"/>
                <w:sz w:val="16"/>
                <w:szCs w:val="16"/>
                <w:lang w:val="hr-BA" w:eastAsia="sr-Latn-CS"/>
              </w:rPr>
              <w:t xml:space="preserve">  na godišnjem nivou.  </w:t>
            </w:r>
          </w:p>
        </w:tc>
      </w:tr>
      <w:tr w:rsidR="00A80B4E" w:rsidRPr="00B7259E" w14:paraId="79231DC6" w14:textId="77777777" w:rsidTr="009D7048">
        <w:tblPrEx>
          <w:tblCellMar>
            <w:top w:w="0" w:type="dxa"/>
            <w:bottom w:w="0" w:type="dxa"/>
          </w:tblCellMar>
        </w:tblPrEx>
        <w:trPr>
          <w:trHeight w:val="198"/>
        </w:trPr>
        <w:tc>
          <w:tcPr>
            <w:tcW w:w="515" w:type="dxa"/>
            <w:gridSpan w:val="2"/>
            <w:tcBorders>
              <w:top w:val="single" w:sz="6" w:space="0" w:color="auto"/>
              <w:left w:val="single" w:sz="6" w:space="0" w:color="auto"/>
              <w:bottom w:val="single" w:sz="6" w:space="0" w:color="auto"/>
              <w:right w:val="single" w:sz="6" w:space="0" w:color="auto"/>
            </w:tcBorders>
          </w:tcPr>
          <w:p w14:paraId="7417BD66" w14:textId="77777777" w:rsidR="00A80B4E" w:rsidRPr="00B7259E" w:rsidRDefault="00D4349B"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6</w:t>
            </w:r>
            <w:r w:rsidR="005C380C" w:rsidRPr="00B7259E">
              <w:rPr>
                <w:rFonts w:ascii="Arial" w:hAnsi="Arial" w:cs="Arial"/>
                <w:sz w:val="16"/>
                <w:szCs w:val="16"/>
                <w:lang w:val="hr-BA"/>
              </w:rPr>
              <w:t>.</w:t>
            </w:r>
          </w:p>
        </w:tc>
        <w:tc>
          <w:tcPr>
            <w:tcW w:w="2290" w:type="dxa"/>
            <w:tcBorders>
              <w:top w:val="single" w:sz="6" w:space="0" w:color="auto"/>
              <w:left w:val="nil"/>
              <w:bottom w:val="single" w:sz="6" w:space="0" w:color="auto"/>
              <w:right w:val="single" w:sz="6" w:space="0" w:color="auto"/>
            </w:tcBorders>
          </w:tcPr>
          <w:p w14:paraId="4DC9E3B8" w14:textId="77777777" w:rsidR="00A80B4E" w:rsidRPr="00956F2B" w:rsidRDefault="00A80B4E"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Način isplate kamate</w:t>
            </w:r>
          </w:p>
        </w:tc>
        <w:tc>
          <w:tcPr>
            <w:tcW w:w="8097" w:type="dxa"/>
            <w:gridSpan w:val="2"/>
            <w:tcBorders>
              <w:top w:val="single" w:sz="6" w:space="0" w:color="auto"/>
              <w:left w:val="single" w:sz="6" w:space="0" w:color="auto"/>
              <w:bottom w:val="single" w:sz="6" w:space="0" w:color="auto"/>
              <w:right w:val="single" w:sz="6" w:space="0" w:color="auto"/>
            </w:tcBorders>
          </w:tcPr>
          <w:p w14:paraId="5531F8D0" w14:textId="77777777" w:rsidR="00A80B4E" w:rsidRPr="00956F2B" w:rsidRDefault="002E3EE1"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Na kraju perioda oročenja uz mogućnost ugovaranja i drugačijeg načina isplate kamate</w:t>
            </w:r>
            <w:r w:rsidR="004B3FE3" w:rsidRPr="00956F2B">
              <w:rPr>
                <w:rFonts w:ascii="Arial" w:hAnsi="Arial" w:cs="Arial"/>
                <w:kern w:val="1"/>
                <w:sz w:val="16"/>
                <w:szCs w:val="16"/>
                <w:lang w:val="hr-BA" w:eastAsia="sr-Latn-CS"/>
              </w:rPr>
              <w:t xml:space="preserve"> - mjesečno</w:t>
            </w:r>
            <w:r w:rsidR="00C479EB" w:rsidRPr="00956F2B">
              <w:rPr>
                <w:rFonts w:ascii="Arial" w:hAnsi="Arial" w:cs="Arial"/>
                <w:kern w:val="1"/>
                <w:sz w:val="16"/>
                <w:szCs w:val="16"/>
                <w:lang w:val="hr-BA" w:eastAsia="sr-Latn-CS"/>
              </w:rPr>
              <w:t>, kvartalno polugodišnje i godišnje.</w:t>
            </w:r>
          </w:p>
        </w:tc>
      </w:tr>
      <w:tr w:rsidR="004121B9" w:rsidRPr="00B7259E" w14:paraId="5CC92FD6" w14:textId="77777777" w:rsidTr="009D7048">
        <w:tblPrEx>
          <w:tblCellMar>
            <w:top w:w="0" w:type="dxa"/>
            <w:bottom w:w="0" w:type="dxa"/>
          </w:tblCellMar>
        </w:tblPrEx>
        <w:trPr>
          <w:trHeight w:val="198"/>
        </w:trPr>
        <w:tc>
          <w:tcPr>
            <w:tcW w:w="515" w:type="dxa"/>
            <w:gridSpan w:val="2"/>
            <w:tcBorders>
              <w:top w:val="single" w:sz="6" w:space="0" w:color="auto"/>
              <w:left w:val="single" w:sz="6" w:space="0" w:color="auto"/>
              <w:bottom w:val="single" w:sz="6" w:space="0" w:color="auto"/>
              <w:right w:val="single" w:sz="6" w:space="0" w:color="auto"/>
            </w:tcBorders>
          </w:tcPr>
          <w:p w14:paraId="533A2971" w14:textId="77777777" w:rsidR="004121B9" w:rsidRPr="00B7259E" w:rsidRDefault="00D4349B"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7</w:t>
            </w:r>
            <w:r w:rsidR="004121B9" w:rsidRPr="00B7259E">
              <w:rPr>
                <w:rFonts w:ascii="Arial" w:hAnsi="Arial" w:cs="Arial"/>
                <w:sz w:val="16"/>
                <w:szCs w:val="16"/>
                <w:lang w:val="hr-BA"/>
              </w:rPr>
              <w:t>.</w:t>
            </w:r>
          </w:p>
        </w:tc>
        <w:tc>
          <w:tcPr>
            <w:tcW w:w="2290" w:type="dxa"/>
            <w:tcBorders>
              <w:top w:val="single" w:sz="6" w:space="0" w:color="auto"/>
              <w:left w:val="nil"/>
              <w:bottom w:val="single" w:sz="6" w:space="0" w:color="auto"/>
              <w:right w:val="single" w:sz="6" w:space="0" w:color="auto"/>
            </w:tcBorders>
          </w:tcPr>
          <w:p w14:paraId="7954BF45" w14:textId="77777777" w:rsidR="004121B9" w:rsidRPr="00956F2B" w:rsidRDefault="004121B9" w:rsidP="00956F2B">
            <w:pPr>
              <w:autoSpaceDE w:val="0"/>
              <w:autoSpaceDN w:val="0"/>
              <w:adjustRightInd w:val="0"/>
              <w:spacing w:after="0"/>
              <w:jc w:val="both"/>
              <w:rPr>
                <w:rFonts w:ascii="Arial" w:hAnsi="Arial" w:cs="Arial"/>
                <w:color w:val="FF0000"/>
                <w:sz w:val="16"/>
                <w:szCs w:val="16"/>
                <w:lang w:val="hr-BA"/>
              </w:rPr>
            </w:pPr>
            <w:r w:rsidRPr="00956F2B">
              <w:rPr>
                <w:rFonts w:ascii="Arial" w:hAnsi="Arial" w:cs="Arial"/>
                <w:sz w:val="16"/>
                <w:szCs w:val="16"/>
                <w:lang w:val="hr-BA"/>
              </w:rPr>
              <w:t>Način obračuna kamate</w:t>
            </w:r>
          </w:p>
        </w:tc>
        <w:tc>
          <w:tcPr>
            <w:tcW w:w="8097" w:type="dxa"/>
            <w:gridSpan w:val="2"/>
            <w:tcBorders>
              <w:top w:val="single" w:sz="6" w:space="0" w:color="auto"/>
              <w:left w:val="single" w:sz="6" w:space="0" w:color="auto"/>
              <w:bottom w:val="single" w:sz="6" w:space="0" w:color="auto"/>
              <w:right w:val="single" w:sz="6" w:space="0" w:color="auto"/>
            </w:tcBorders>
          </w:tcPr>
          <w:p w14:paraId="433AB77F" w14:textId="77777777" w:rsidR="004121B9" w:rsidRPr="00956F2B" w:rsidRDefault="003B78D1" w:rsidP="00956F2B">
            <w:pPr>
              <w:widowControl w:val="0"/>
              <w:autoSpaceDE w:val="0"/>
              <w:autoSpaceDN w:val="0"/>
              <w:adjustRightInd w:val="0"/>
              <w:spacing w:after="0"/>
              <w:jc w:val="both"/>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Na  oročene depozite domaćih  i stranih fizičkih lica kamata se obračunava mjesečno ili o roku dospjeća ili na dugi način definisan ugovorom, primjenom  linearnog metoda obračuna kamate na bazi stvarnog broja dana po kalendaru (godina 365/366 dana, a mjesec prema kalendaru), na bazi stvarno proteklog broja dana u mjesecu za koji se računa kamata. </w:t>
            </w:r>
            <w:r w:rsidR="004121B9" w:rsidRPr="00956F2B">
              <w:rPr>
                <w:rFonts w:ascii="Arial" w:hAnsi="Arial" w:cs="Arial"/>
                <w:kern w:val="1"/>
                <w:sz w:val="16"/>
                <w:szCs w:val="16"/>
                <w:lang w:val="hr-BA" w:eastAsia="sr-Latn-CS"/>
              </w:rPr>
              <w:t xml:space="preserve">Obračunata kamata se, u skladu sa ugovorom, isplaćuje, odnosno pripisuje glavnici po isteku oročenja. </w:t>
            </w:r>
          </w:p>
          <w:p w14:paraId="3E9E5FAC" w14:textId="77777777" w:rsidR="004121B9" w:rsidRPr="00956F2B" w:rsidRDefault="004121B9" w:rsidP="00956F2B">
            <w:pPr>
              <w:widowControl w:val="0"/>
              <w:autoSpaceDE w:val="0"/>
              <w:autoSpaceDN w:val="0"/>
              <w:adjustRightInd w:val="0"/>
              <w:spacing w:after="0"/>
              <w:jc w:val="both"/>
              <w:rPr>
                <w:rFonts w:ascii="Arial" w:hAnsi="Arial" w:cs="Arial"/>
                <w:color w:val="FF0000"/>
                <w:kern w:val="1"/>
                <w:sz w:val="16"/>
                <w:szCs w:val="16"/>
                <w:lang w:val="hr-BA" w:eastAsia="sr-Latn-CS"/>
              </w:rPr>
            </w:pPr>
            <w:r w:rsidRPr="00956F2B">
              <w:rPr>
                <w:rFonts w:ascii="Arial" w:hAnsi="Arial" w:cs="Arial"/>
                <w:kern w:val="1"/>
                <w:sz w:val="16"/>
                <w:szCs w:val="16"/>
                <w:lang w:val="hr-BA" w:eastAsia="sr-Latn-CS"/>
              </w:rPr>
              <w:t>Nominalna kamatna stopa računa se po linearnoj metodi obračuna kamate na bazi stvarnog broja dana, a efektivna kamatna stopa po konformnoj metodi.</w:t>
            </w:r>
          </w:p>
        </w:tc>
      </w:tr>
      <w:tr w:rsidR="004121B9" w:rsidRPr="00B7259E" w14:paraId="0128EAC5" w14:textId="77777777" w:rsidTr="009D7048">
        <w:tblPrEx>
          <w:tblCellMar>
            <w:top w:w="0" w:type="dxa"/>
            <w:bottom w:w="0" w:type="dxa"/>
          </w:tblCellMar>
        </w:tblPrEx>
        <w:trPr>
          <w:trHeight w:val="412"/>
        </w:trPr>
        <w:tc>
          <w:tcPr>
            <w:tcW w:w="515" w:type="dxa"/>
            <w:gridSpan w:val="2"/>
            <w:tcBorders>
              <w:top w:val="single" w:sz="6" w:space="0" w:color="auto"/>
              <w:left w:val="single" w:sz="6" w:space="0" w:color="auto"/>
              <w:bottom w:val="single" w:sz="6" w:space="0" w:color="auto"/>
              <w:right w:val="single" w:sz="6" w:space="0" w:color="auto"/>
            </w:tcBorders>
          </w:tcPr>
          <w:p w14:paraId="2D3D033A" w14:textId="77777777" w:rsidR="004121B9" w:rsidRPr="00B7259E" w:rsidRDefault="00D4349B" w:rsidP="00B7259E">
            <w:pPr>
              <w:rPr>
                <w:rFonts w:ascii="Arial" w:hAnsi="Arial" w:cs="Arial"/>
                <w:sz w:val="16"/>
                <w:szCs w:val="16"/>
                <w:lang w:val="hr-BA"/>
              </w:rPr>
            </w:pPr>
            <w:r w:rsidRPr="00B7259E">
              <w:rPr>
                <w:rFonts w:ascii="Arial" w:hAnsi="Arial" w:cs="Arial"/>
                <w:sz w:val="16"/>
                <w:szCs w:val="16"/>
                <w:lang w:val="hr-BA"/>
              </w:rPr>
              <w:t>8</w:t>
            </w:r>
            <w:r w:rsidR="004121B9" w:rsidRPr="00B7259E">
              <w:rPr>
                <w:rFonts w:ascii="Arial" w:hAnsi="Arial" w:cs="Arial"/>
                <w:sz w:val="16"/>
                <w:szCs w:val="16"/>
                <w:lang w:val="hr-BA"/>
              </w:rPr>
              <w:t>.</w:t>
            </w:r>
          </w:p>
        </w:tc>
        <w:tc>
          <w:tcPr>
            <w:tcW w:w="2290" w:type="dxa"/>
            <w:tcBorders>
              <w:top w:val="single" w:sz="6" w:space="0" w:color="auto"/>
              <w:left w:val="nil"/>
              <w:bottom w:val="single" w:sz="6" w:space="0" w:color="auto"/>
              <w:right w:val="single" w:sz="6" w:space="0" w:color="auto"/>
            </w:tcBorders>
          </w:tcPr>
          <w:p w14:paraId="18B1A3C9" w14:textId="77777777" w:rsidR="004121B9" w:rsidRPr="00956F2B" w:rsidRDefault="004121B9" w:rsidP="00956F2B">
            <w:pPr>
              <w:jc w:val="both"/>
              <w:rPr>
                <w:rFonts w:ascii="Arial" w:hAnsi="Arial" w:cs="Arial"/>
                <w:sz w:val="16"/>
                <w:szCs w:val="16"/>
                <w:lang w:val="hr-BA"/>
              </w:rPr>
            </w:pPr>
            <w:r w:rsidRPr="00956F2B">
              <w:rPr>
                <w:rFonts w:ascii="Arial" w:hAnsi="Arial" w:cs="Arial"/>
                <w:sz w:val="16"/>
                <w:szCs w:val="16"/>
                <w:lang w:val="hr-BA"/>
              </w:rPr>
              <w:t xml:space="preserve">Reprezentativni primjer  </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71E51615"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Za KM i EUR valutu: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381"/>
              <w:gridCol w:w="1380"/>
              <w:gridCol w:w="921"/>
              <w:gridCol w:w="1074"/>
              <w:gridCol w:w="2149"/>
            </w:tblGrid>
            <w:tr w:rsidR="00B7259E" w:rsidRPr="00956F2B" w14:paraId="2C6BD1DF" w14:textId="77777777" w:rsidTr="008C63D8">
              <w:trPr>
                <w:trHeight w:val="476"/>
              </w:trPr>
              <w:tc>
                <w:tcPr>
                  <w:tcW w:w="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D0914"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    Iznos</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2425F" w14:textId="77777777" w:rsidR="00B7259E" w:rsidRPr="00956F2B" w:rsidRDefault="00B7259E" w:rsidP="00956F2B">
                  <w:pPr>
                    <w:widowControl w:val="0"/>
                    <w:autoSpaceDE w:val="0"/>
                    <w:autoSpaceDN w:val="0"/>
                    <w:adjustRightInd w:val="0"/>
                    <w:spacing w:after="0"/>
                    <w:jc w:val="center"/>
                    <w:rPr>
                      <w:rFonts w:ascii="Arial" w:hAnsi="Arial" w:cs="Arial"/>
                      <w:kern w:val="1"/>
                      <w:sz w:val="16"/>
                      <w:szCs w:val="16"/>
                      <w:lang w:val="hr-BA" w:eastAsia="sr-Latn-CS"/>
                    </w:rPr>
                  </w:pPr>
                  <w:r w:rsidRPr="00956F2B">
                    <w:rPr>
                      <w:rFonts w:ascii="Arial" w:hAnsi="Arial" w:cs="Arial"/>
                      <w:kern w:val="1"/>
                      <w:sz w:val="16"/>
                      <w:szCs w:val="16"/>
                      <w:lang w:val="hr-BA" w:eastAsia="sr-Latn-CS"/>
                    </w:rPr>
                    <w:t>Period oročenja</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904F6" w14:textId="77777777" w:rsidR="00B7259E" w:rsidRPr="00956F2B" w:rsidRDefault="00B7259E" w:rsidP="00956F2B">
                  <w:pPr>
                    <w:widowControl w:val="0"/>
                    <w:autoSpaceDE w:val="0"/>
                    <w:autoSpaceDN w:val="0"/>
                    <w:adjustRightInd w:val="0"/>
                    <w:spacing w:after="0"/>
                    <w:jc w:val="center"/>
                    <w:rPr>
                      <w:rFonts w:ascii="Arial" w:hAnsi="Arial" w:cs="Arial"/>
                      <w:kern w:val="1"/>
                      <w:sz w:val="16"/>
                      <w:szCs w:val="16"/>
                      <w:lang w:val="hr-BA" w:eastAsia="sr-Latn-CS"/>
                    </w:rPr>
                  </w:pPr>
                  <w:r w:rsidRPr="00956F2B">
                    <w:rPr>
                      <w:rFonts w:ascii="Arial" w:hAnsi="Arial" w:cs="Arial"/>
                      <w:kern w:val="1"/>
                      <w:sz w:val="16"/>
                      <w:szCs w:val="16"/>
                      <w:lang w:val="hr-BA" w:eastAsia="sr-Latn-CS"/>
                    </w:rPr>
                    <w:t>Nominalna kamatna stopa</w:t>
                  </w:r>
                </w:p>
              </w:tc>
              <w:tc>
                <w:tcPr>
                  <w:tcW w:w="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03206"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  EKS</w:t>
                  </w:r>
                </w:p>
              </w:tc>
              <w:tc>
                <w:tcPr>
                  <w:tcW w:w="1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BF64F"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Iznos kamate</w:t>
                  </w:r>
                </w:p>
              </w:tc>
              <w:tc>
                <w:tcPr>
                  <w:tcW w:w="2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4FE47"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Ukupan iznos depozita* (Iznos +Iznos kamate)</w:t>
                  </w:r>
                </w:p>
              </w:tc>
            </w:tr>
          </w:tbl>
          <w:p w14:paraId="3F5F16F4" w14:textId="77777777" w:rsidR="00B7259E" w:rsidRPr="00956F2B" w:rsidRDefault="00B7259E" w:rsidP="00956F2B">
            <w:pPr>
              <w:widowControl w:val="0"/>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10.000,00       </w:t>
            </w:r>
            <w:r w:rsidR="00EC215C"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13 mjeseci                1,</w:t>
            </w:r>
            <w:r w:rsidR="00EC215C" w:rsidRPr="00956F2B">
              <w:rPr>
                <w:rFonts w:ascii="Arial" w:hAnsi="Arial" w:cs="Arial"/>
                <w:kern w:val="1"/>
                <w:sz w:val="16"/>
                <w:szCs w:val="16"/>
                <w:lang w:val="hr-BA" w:eastAsia="sr-Latn-CS"/>
              </w:rPr>
              <w:t>60</w:t>
            </w:r>
            <w:r w:rsidRPr="00956F2B">
              <w:rPr>
                <w:rFonts w:ascii="Arial" w:hAnsi="Arial" w:cs="Arial"/>
                <w:kern w:val="1"/>
                <w:sz w:val="16"/>
                <w:szCs w:val="16"/>
                <w:lang w:val="hr-BA" w:eastAsia="sr-Latn-CS"/>
              </w:rPr>
              <w:t xml:space="preserve">%                </w:t>
            </w:r>
            <w:r w:rsidR="008C63D8"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1,</w:t>
            </w:r>
            <w:r w:rsidR="00CB4D55" w:rsidRPr="00956F2B">
              <w:rPr>
                <w:rFonts w:ascii="Arial" w:hAnsi="Arial" w:cs="Arial"/>
                <w:kern w:val="1"/>
                <w:sz w:val="16"/>
                <w:szCs w:val="16"/>
                <w:lang w:val="hr-BA" w:eastAsia="sr-Latn-CS"/>
              </w:rPr>
              <w:t>60</w:t>
            </w:r>
            <w:r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 xml:space="preserve"> 173,56</w:t>
            </w:r>
            <w:r w:rsidRPr="00956F2B">
              <w:rPr>
                <w:rFonts w:ascii="Arial" w:hAnsi="Arial" w:cs="Arial"/>
                <w:kern w:val="1"/>
                <w:sz w:val="16"/>
                <w:szCs w:val="16"/>
                <w:lang w:val="hr-BA" w:eastAsia="sr-Latn-CS"/>
              </w:rPr>
              <w:t xml:space="preserve">                </w:t>
            </w:r>
            <w:r w:rsidR="00F235A6"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10.</w:t>
            </w:r>
            <w:r w:rsidR="0023359E" w:rsidRPr="00956F2B">
              <w:rPr>
                <w:rFonts w:ascii="Arial" w:hAnsi="Arial" w:cs="Arial"/>
                <w:kern w:val="1"/>
                <w:sz w:val="16"/>
                <w:szCs w:val="16"/>
                <w:lang w:val="hr-BA" w:eastAsia="sr-Latn-CS"/>
              </w:rPr>
              <w:t>1</w:t>
            </w:r>
            <w:r w:rsidR="00CB4D55" w:rsidRPr="00956F2B">
              <w:rPr>
                <w:rFonts w:ascii="Arial" w:hAnsi="Arial" w:cs="Arial"/>
                <w:kern w:val="1"/>
                <w:sz w:val="16"/>
                <w:szCs w:val="16"/>
                <w:lang w:val="hr-BA" w:eastAsia="sr-Latn-CS"/>
              </w:rPr>
              <w:t>73</w:t>
            </w:r>
            <w:r w:rsidR="0023359E" w:rsidRPr="00956F2B">
              <w:rPr>
                <w:rFonts w:ascii="Arial" w:hAnsi="Arial" w:cs="Arial"/>
                <w:kern w:val="1"/>
                <w:sz w:val="16"/>
                <w:szCs w:val="16"/>
                <w:lang w:val="hr-BA" w:eastAsia="sr-Latn-CS"/>
              </w:rPr>
              <w:t>,</w:t>
            </w:r>
            <w:r w:rsidR="00CB4D55" w:rsidRPr="00956F2B">
              <w:rPr>
                <w:rFonts w:ascii="Arial" w:hAnsi="Arial" w:cs="Arial"/>
                <w:kern w:val="1"/>
                <w:sz w:val="16"/>
                <w:szCs w:val="16"/>
                <w:lang w:val="hr-BA" w:eastAsia="sr-Latn-CS"/>
              </w:rPr>
              <w:t>56</w:t>
            </w:r>
            <w:r w:rsidRPr="00956F2B">
              <w:rPr>
                <w:rFonts w:ascii="Arial" w:hAnsi="Arial" w:cs="Arial"/>
                <w:kern w:val="1"/>
                <w:sz w:val="16"/>
                <w:szCs w:val="16"/>
                <w:lang w:val="hr-BA" w:eastAsia="sr-Latn-CS"/>
              </w:rPr>
              <w:t xml:space="preserve"> </w:t>
            </w:r>
          </w:p>
          <w:p w14:paraId="3E00584C" w14:textId="77777777" w:rsidR="00B7259E" w:rsidRPr="00956F2B" w:rsidRDefault="00B7259E" w:rsidP="00956F2B">
            <w:pPr>
              <w:widowControl w:val="0"/>
              <w:pBdr>
                <w:bottom w:val="single" w:sz="4" w:space="1" w:color="auto"/>
              </w:pBdr>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 xml:space="preserve">10.000,00       </w:t>
            </w:r>
            <w:r w:rsidR="00EC215C"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18 mjeseci                </w:t>
            </w:r>
            <w:r w:rsidR="00EC215C" w:rsidRPr="00956F2B">
              <w:rPr>
                <w:rFonts w:ascii="Arial" w:hAnsi="Arial" w:cs="Arial"/>
                <w:kern w:val="1"/>
                <w:sz w:val="16"/>
                <w:szCs w:val="16"/>
                <w:lang w:val="hr-BA" w:eastAsia="sr-Latn-CS"/>
              </w:rPr>
              <w:t>1,</w:t>
            </w:r>
            <w:r w:rsidR="006773CD" w:rsidRPr="00956F2B">
              <w:rPr>
                <w:rFonts w:ascii="Arial" w:hAnsi="Arial" w:cs="Arial"/>
                <w:kern w:val="1"/>
                <w:sz w:val="16"/>
                <w:szCs w:val="16"/>
                <w:lang w:val="hr-BA" w:eastAsia="sr-Latn-CS"/>
              </w:rPr>
              <w:t>80</w:t>
            </w:r>
            <w:r w:rsidRPr="00956F2B">
              <w:rPr>
                <w:rFonts w:ascii="Arial" w:hAnsi="Arial" w:cs="Arial"/>
                <w:kern w:val="1"/>
                <w:sz w:val="16"/>
                <w:szCs w:val="16"/>
                <w:lang w:val="hr-BA" w:eastAsia="sr-Latn-CS"/>
              </w:rPr>
              <w:t xml:space="preserve">%                </w:t>
            </w:r>
            <w:r w:rsidR="008C63D8"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1,</w:t>
            </w:r>
            <w:r w:rsidR="006773CD" w:rsidRPr="00956F2B">
              <w:rPr>
                <w:rFonts w:ascii="Arial" w:hAnsi="Arial" w:cs="Arial"/>
                <w:kern w:val="1"/>
                <w:sz w:val="16"/>
                <w:szCs w:val="16"/>
                <w:lang w:val="hr-BA" w:eastAsia="sr-Latn-CS"/>
              </w:rPr>
              <w:t>80</w:t>
            </w:r>
            <w:r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00F235A6"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2</w:t>
            </w:r>
            <w:r w:rsidR="006773CD" w:rsidRPr="00956F2B">
              <w:rPr>
                <w:rFonts w:ascii="Arial" w:hAnsi="Arial" w:cs="Arial"/>
                <w:kern w:val="1"/>
                <w:sz w:val="16"/>
                <w:szCs w:val="16"/>
                <w:lang w:val="hr-BA" w:eastAsia="sr-Latn-CS"/>
              </w:rPr>
              <w:t>69,26</w:t>
            </w:r>
            <w:r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00F235A6"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10.</w:t>
            </w:r>
            <w:r w:rsidR="006773CD" w:rsidRPr="00956F2B">
              <w:rPr>
                <w:rFonts w:ascii="Arial" w:hAnsi="Arial" w:cs="Arial"/>
                <w:kern w:val="1"/>
                <w:sz w:val="16"/>
                <w:szCs w:val="16"/>
                <w:lang w:val="hr-BA" w:eastAsia="sr-Latn-CS"/>
              </w:rPr>
              <w:t>269,26</w:t>
            </w:r>
          </w:p>
          <w:p w14:paraId="2E48244B" w14:textId="77777777" w:rsidR="00B7259E" w:rsidRPr="00956F2B" w:rsidRDefault="00B7259E" w:rsidP="00956F2B">
            <w:pPr>
              <w:widowControl w:val="0"/>
              <w:pBdr>
                <w:bottom w:val="single" w:sz="4" w:space="1" w:color="auto"/>
              </w:pBdr>
              <w:autoSpaceDE w:val="0"/>
              <w:autoSpaceDN w:val="0"/>
              <w:adjustRightInd w:val="0"/>
              <w:spacing w:after="0"/>
              <w:rPr>
                <w:rFonts w:ascii="Arial" w:hAnsi="Arial" w:cs="Arial"/>
                <w:color w:val="FF0000"/>
                <w:kern w:val="1"/>
                <w:sz w:val="16"/>
                <w:szCs w:val="16"/>
                <w:lang w:val="hr-BA" w:eastAsia="sr-Latn-CS"/>
              </w:rPr>
            </w:pPr>
            <w:r w:rsidRPr="00956F2B">
              <w:rPr>
                <w:rFonts w:ascii="Arial" w:hAnsi="Arial" w:cs="Arial"/>
                <w:kern w:val="1"/>
                <w:sz w:val="16"/>
                <w:szCs w:val="16"/>
                <w:lang w:val="hr-BA" w:eastAsia="sr-Latn-CS"/>
              </w:rPr>
              <w:t xml:space="preserve">10.000,00       </w:t>
            </w:r>
            <w:r w:rsidR="00EC215C"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25 mjeseci               </w:t>
            </w:r>
            <w:r w:rsidR="00EC215C"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2,</w:t>
            </w:r>
            <w:r w:rsidR="006773CD" w:rsidRPr="00956F2B">
              <w:rPr>
                <w:rFonts w:ascii="Arial" w:hAnsi="Arial" w:cs="Arial"/>
                <w:kern w:val="1"/>
                <w:sz w:val="16"/>
                <w:szCs w:val="16"/>
                <w:lang w:val="hr-BA" w:eastAsia="sr-Latn-CS"/>
              </w:rPr>
              <w:t>0</w:t>
            </w:r>
            <w:r w:rsidR="00EC215C" w:rsidRPr="00956F2B">
              <w:rPr>
                <w:rFonts w:ascii="Arial" w:hAnsi="Arial" w:cs="Arial"/>
                <w:kern w:val="1"/>
                <w:sz w:val="16"/>
                <w:szCs w:val="16"/>
                <w:lang w:val="hr-BA" w:eastAsia="sr-Latn-CS"/>
              </w:rPr>
              <w:t>0</w:t>
            </w:r>
            <w:r w:rsidRPr="00956F2B">
              <w:rPr>
                <w:rFonts w:ascii="Arial" w:hAnsi="Arial" w:cs="Arial"/>
                <w:kern w:val="1"/>
                <w:sz w:val="16"/>
                <w:szCs w:val="16"/>
                <w:lang w:val="hr-BA" w:eastAsia="sr-Latn-CS"/>
              </w:rPr>
              <w:t xml:space="preserve">%                 </w:t>
            </w:r>
            <w:r w:rsidR="008C63D8"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2,</w:t>
            </w:r>
            <w:r w:rsidR="006773CD" w:rsidRPr="00956F2B">
              <w:rPr>
                <w:rFonts w:ascii="Arial" w:hAnsi="Arial" w:cs="Arial"/>
                <w:kern w:val="1"/>
                <w:sz w:val="16"/>
                <w:szCs w:val="16"/>
                <w:lang w:val="hr-BA" w:eastAsia="sr-Latn-CS"/>
              </w:rPr>
              <w:t>00</w:t>
            </w:r>
            <w:r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 </w:t>
            </w:r>
            <w:r w:rsidR="00F235A6" w:rsidRPr="00956F2B">
              <w:rPr>
                <w:rFonts w:ascii="Arial" w:hAnsi="Arial" w:cs="Arial"/>
                <w:kern w:val="1"/>
                <w:sz w:val="16"/>
                <w:szCs w:val="16"/>
                <w:lang w:val="hr-BA" w:eastAsia="sr-Latn-CS"/>
              </w:rPr>
              <w:t xml:space="preserve"> </w:t>
            </w:r>
            <w:r w:rsidR="003964BC" w:rsidRPr="00956F2B">
              <w:rPr>
                <w:rFonts w:ascii="Arial" w:hAnsi="Arial" w:cs="Arial"/>
                <w:kern w:val="1"/>
                <w:sz w:val="16"/>
                <w:szCs w:val="16"/>
                <w:lang w:val="hr-BA" w:eastAsia="sr-Latn-CS"/>
              </w:rPr>
              <w:t>4</w:t>
            </w:r>
            <w:r w:rsidR="007F35A7" w:rsidRPr="00956F2B">
              <w:rPr>
                <w:rFonts w:ascii="Arial" w:hAnsi="Arial" w:cs="Arial"/>
                <w:kern w:val="1"/>
                <w:sz w:val="16"/>
                <w:szCs w:val="16"/>
                <w:lang w:val="hr-BA" w:eastAsia="sr-Latn-CS"/>
              </w:rPr>
              <w:t>16</w:t>
            </w:r>
            <w:r w:rsidR="003964BC" w:rsidRPr="00956F2B">
              <w:rPr>
                <w:rFonts w:ascii="Arial" w:hAnsi="Arial" w:cs="Arial"/>
                <w:kern w:val="1"/>
                <w:sz w:val="16"/>
                <w:szCs w:val="16"/>
                <w:lang w:val="hr-BA" w:eastAsia="sr-Latn-CS"/>
              </w:rPr>
              <w:t>,</w:t>
            </w:r>
            <w:r w:rsidR="007F35A7" w:rsidRPr="00956F2B">
              <w:rPr>
                <w:rFonts w:ascii="Arial" w:hAnsi="Arial" w:cs="Arial"/>
                <w:kern w:val="1"/>
                <w:sz w:val="16"/>
                <w:szCs w:val="16"/>
                <w:lang w:val="hr-BA" w:eastAsia="sr-Latn-CS"/>
              </w:rPr>
              <w:t>44</w:t>
            </w:r>
            <w:r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10.</w:t>
            </w:r>
            <w:r w:rsidR="003964BC" w:rsidRPr="00956F2B">
              <w:rPr>
                <w:rFonts w:ascii="Arial" w:hAnsi="Arial" w:cs="Arial"/>
                <w:kern w:val="1"/>
                <w:sz w:val="16"/>
                <w:szCs w:val="16"/>
                <w:lang w:val="hr-BA" w:eastAsia="sr-Latn-CS"/>
              </w:rPr>
              <w:t>4</w:t>
            </w:r>
            <w:r w:rsidR="007F35A7" w:rsidRPr="00956F2B">
              <w:rPr>
                <w:rFonts w:ascii="Arial" w:hAnsi="Arial" w:cs="Arial"/>
                <w:kern w:val="1"/>
                <w:sz w:val="16"/>
                <w:szCs w:val="16"/>
                <w:lang w:val="hr-BA" w:eastAsia="sr-Latn-CS"/>
              </w:rPr>
              <w:t>16</w:t>
            </w:r>
            <w:r w:rsidRPr="00956F2B">
              <w:rPr>
                <w:rFonts w:ascii="Arial" w:hAnsi="Arial" w:cs="Arial"/>
                <w:kern w:val="1"/>
                <w:sz w:val="16"/>
                <w:szCs w:val="16"/>
                <w:lang w:val="hr-BA" w:eastAsia="sr-Latn-CS"/>
              </w:rPr>
              <w:t>,</w:t>
            </w:r>
            <w:r w:rsidR="007F35A7" w:rsidRPr="00956F2B">
              <w:rPr>
                <w:rFonts w:ascii="Arial" w:hAnsi="Arial" w:cs="Arial"/>
                <w:kern w:val="1"/>
                <w:sz w:val="16"/>
                <w:szCs w:val="16"/>
                <w:lang w:val="hr-BA" w:eastAsia="sr-Latn-CS"/>
              </w:rPr>
              <w:t>44</w:t>
            </w:r>
          </w:p>
          <w:p w14:paraId="20A50C11" w14:textId="77777777" w:rsidR="009D7048" w:rsidRPr="00956F2B" w:rsidRDefault="00B7259E" w:rsidP="00956F2B">
            <w:pPr>
              <w:widowControl w:val="0"/>
              <w:pBdr>
                <w:bottom w:val="single" w:sz="4" w:space="1" w:color="auto"/>
              </w:pBdr>
              <w:autoSpaceDE w:val="0"/>
              <w:autoSpaceDN w:val="0"/>
              <w:adjustRightInd w:val="0"/>
              <w:spacing w:after="0"/>
              <w:rPr>
                <w:rFonts w:ascii="Arial" w:hAnsi="Arial" w:cs="Arial"/>
                <w:color w:val="FF0000"/>
                <w:kern w:val="1"/>
                <w:sz w:val="16"/>
                <w:szCs w:val="16"/>
                <w:lang w:val="hr-BA" w:eastAsia="sr-Latn-CS"/>
              </w:rPr>
            </w:pPr>
            <w:r w:rsidRPr="00956F2B">
              <w:rPr>
                <w:rFonts w:ascii="Arial" w:hAnsi="Arial" w:cs="Arial"/>
                <w:kern w:val="1"/>
                <w:sz w:val="16"/>
                <w:szCs w:val="16"/>
                <w:lang w:val="hr-BA" w:eastAsia="sr-Latn-CS"/>
              </w:rPr>
              <w:t xml:space="preserve">10.000,00        </w:t>
            </w:r>
            <w:r w:rsidR="00EC215C"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37 mjesecI             </w:t>
            </w:r>
            <w:r w:rsidR="008C63D8"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 2,</w:t>
            </w:r>
            <w:r w:rsidR="006773CD" w:rsidRPr="00956F2B">
              <w:rPr>
                <w:rFonts w:ascii="Arial" w:hAnsi="Arial" w:cs="Arial"/>
                <w:kern w:val="1"/>
                <w:sz w:val="16"/>
                <w:szCs w:val="16"/>
                <w:lang w:val="hr-BA" w:eastAsia="sr-Latn-CS"/>
              </w:rPr>
              <w:t>2</w:t>
            </w:r>
            <w:r w:rsidR="00EC215C" w:rsidRPr="00956F2B">
              <w:rPr>
                <w:rFonts w:ascii="Arial" w:hAnsi="Arial" w:cs="Arial"/>
                <w:kern w:val="1"/>
                <w:sz w:val="16"/>
                <w:szCs w:val="16"/>
                <w:lang w:val="hr-BA" w:eastAsia="sr-Latn-CS"/>
              </w:rPr>
              <w:t>0</w:t>
            </w:r>
            <w:r w:rsidRPr="00956F2B">
              <w:rPr>
                <w:rFonts w:ascii="Arial" w:hAnsi="Arial" w:cs="Arial"/>
                <w:kern w:val="1"/>
                <w:sz w:val="16"/>
                <w:szCs w:val="16"/>
                <w:lang w:val="hr-BA" w:eastAsia="sr-Latn-CS"/>
              </w:rPr>
              <w:t xml:space="preserve">%                 </w:t>
            </w:r>
            <w:r w:rsidR="008C63D8"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2,</w:t>
            </w:r>
            <w:r w:rsidR="006773CD" w:rsidRPr="00956F2B">
              <w:rPr>
                <w:rFonts w:ascii="Arial" w:hAnsi="Arial" w:cs="Arial"/>
                <w:kern w:val="1"/>
                <w:sz w:val="16"/>
                <w:szCs w:val="16"/>
                <w:lang w:val="hr-BA" w:eastAsia="sr-Latn-CS"/>
              </w:rPr>
              <w:t>2</w:t>
            </w:r>
            <w:r w:rsidR="00CB4D55" w:rsidRPr="00956F2B">
              <w:rPr>
                <w:rFonts w:ascii="Arial" w:hAnsi="Arial" w:cs="Arial"/>
                <w:kern w:val="1"/>
                <w:sz w:val="16"/>
                <w:szCs w:val="16"/>
                <w:lang w:val="hr-BA" w:eastAsia="sr-Latn-CS"/>
              </w:rPr>
              <w:t>0</w:t>
            </w:r>
            <w:r w:rsidRPr="00956F2B">
              <w:rPr>
                <w:rFonts w:ascii="Arial" w:hAnsi="Arial" w:cs="Arial"/>
                <w:kern w:val="1"/>
                <w:sz w:val="16"/>
                <w:szCs w:val="16"/>
                <w:lang w:val="hr-BA" w:eastAsia="sr-Latn-CS"/>
              </w:rPr>
              <w:t xml:space="preserve">%        </w:t>
            </w:r>
            <w:r w:rsidR="008C63D8"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00F235A6" w:rsidRPr="00956F2B">
              <w:rPr>
                <w:rFonts w:ascii="Arial" w:hAnsi="Arial" w:cs="Arial"/>
                <w:kern w:val="1"/>
                <w:sz w:val="16"/>
                <w:szCs w:val="16"/>
                <w:lang w:val="hr-BA" w:eastAsia="sr-Latn-CS"/>
              </w:rPr>
              <w:t xml:space="preserve"> </w:t>
            </w:r>
            <w:r w:rsidR="007F35A7" w:rsidRPr="00956F2B">
              <w:rPr>
                <w:rFonts w:ascii="Arial" w:hAnsi="Arial" w:cs="Arial"/>
                <w:kern w:val="1"/>
                <w:sz w:val="16"/>
                <w:szCs w:val="16"/>
                <w:lang w:val="hr-BA" w:eastAsia="sr-Latn-CS"/>
              </w:rPr>
              <w:t>678,20</w:t>
            </w:r>
            <w:r w:rsidRPr="00956F2B">
              <w:rPr>
                <w:rFonts w:ascii="Arial" w:hAnsi="Arial" w:cs="Arial"/>
                <w:kern w:val="1"/>
                <w:sz w:val="16"/>
                <w:szCs w:val="16"/>
                <w:lang w:val="hr-BA" w:eastAsia="sr-Latn-CS"/>
              </w:rPr>
              <w:t xml:space="preserve">               </w:t>
            </w:r>
            <w:r w:rsidR="0023359E" w:rsidRPr="00956F2B">
              <w:rPr>
                <w:rFonts w:ascii="Arial" w:hAnsi="Arial" w:cs="Arial"/>
                <w:kern w:val="1"/>
                <w:sz w:val="16"/>
                <w:szCs w:val="16"/>
                <w:lang w:val="hr-BA" w:eastAsia="sr-Latn-CS"/>
              </w:rPr>
              <w:t xml:space="preserve">  </w:t>
            </w:r>
            <w:r w:rsidR="00CB4D55"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10.</w:t>
            </w:r>
            <w:r w:rsidR="007F35A7" w:rsidRPr="00956F2B">
              <w:rPr>
                <w:rFonts w:ascii="Arial" w:hAnsi="Arial" w:cs="Arial"/>
                <w:kern w:val="1"/>
                <w:sz w:val="16"/>
                <w:szCs w:val="16"/>
                <w:lang w:val="hr-BA" w:eastAsia="sr-Latn-CS"/>
              </w:rPr>
              <w:t>678,20</w:t>
            </w:r>
            <w:r w:rsidRPr="00956F2B">
              <w:rPr>
                <w:rFonts w:ascii="Arial" w:hAnsi="Arial" w:cs="Arial"/>
                <w:color w:val="FF0000"/>
                <w:kern w:val="1"/>
                <w:sz w:val="16"/>
                <w:szCs w:val="16"/>
                <w:lang w:val="hr-BA" w:eastAsia="sr-Latn-CS"/>
              </w:rPr>
              <w:t xml:space="preserve">  </w:t>
            </w:r>
          </w:p>
          <w:p w14:paraId="76CCB234" w14:textId="77777777" w:rsidR="009D7048" w:rsidRPr="00956F2B" w:rsidRDefault="009D7048" w:rsidP="00956F2B">
            <w:pPr>
              <w:widowControl w:val="0"/>
              <w:pBdr>
                <w:bottom w:val="single" w:sz="4" w:space="1" w:color="auto"/>
              </w:pBdr>
              <w:autoSpaceDE w:val="0"/>
              <w:autoSpaceDN w:val="0"/>
              <w:adjustRightInd w:val="0"/>
              <w:spacing w:after="0"/>
              <w:rPr>
                <w:rFonts w:ascii="Arial" w:hAnsi="Arial" w:cs="Arial"/>
                <w:kern w:val="1"/>
                <w:sz w:val="16"/>
                <w:szCs w:val="16"/>
                <w:lang w:val="hr-BA" w:eastAsia="sr-Latn-CS"/>
              </w:rPr>
            </w:pPr>
            <w:r w:rsidRPr="00956F2B">
              <w:rPr>
                <w:rFonts w:ascii="Arial" w:hAnsi="Arial" w:cs="Arial"/>
                <w:kern w:val="1"/>
                <w:sz w:val="16"/>
                <w:szCs w:val="16"/>
                <w:lang w:val="hr-BA" w:eastAsia="sr-Latn-CS"/>
              </w:rPr>
              <w:t>10.000,00</w:t>
            </w:r>
            <w:r w:rsidR="00B7259E" w:rsidRPr="00956F2B">
              <w:rPr>
                <w:rFonts w:ascii="Arial" w:hAnsi="Arial" w:cs="Arial"/>
                <w:kern w:val="1"/>
                <w:sz w:val="16"/>
                <w:szCs w:val="16"/>
                <w:lang w:val="hr-BA" w:eastAsia="sr-Latn-CS"/>
              </w:rPr>
              <w:t xml:space="preserve">       </w:t>
            </w:r>
            <w:r w:rsidRPr="00956F2B">
              <w:rPr>
                <w:rFonts w:ascii="Arial" w:hAnsi="Arial" w:cs="Arial"/>
                <w:kern w:val="1"/>
                <w:sz w:val="16"/>
                <w:szCs w:val="16"/>
                <w:lang w:val="hr-BA" w:eastAsia="sr-Latn-CS"/>
              </w:rPr>
              <w:t xml:space="preserve">  49 mjeseci                2,</w:t>
            </w:r>
            <w:r w:rsidR="006773CD" w:rsidRPr="00956F2B">
              <w:rPr>
                <w:rFonts w:ascii="Arial" w:hAnsi="Arial" w:cs="Arial"/>
                <w:kern w:val="1"/>
                <w:sz w:val="16"/>
                <w:szCs w:val="16"/>
                <w:lang w:val="hr-BA" w:eastAsia="sr-Latn-CS"/>
              </w:rPr>
              <w:t>3</w:t>
            </w:r>
            <w:r w:rsidRPr="00956F2B">
              <w:rPr>
                <w:rFonts w:ascii="Arial" w:hAnsi="Arial" w:cs="Arial"/>
                <w:kern w:val="1"/>
                <w:sz w:val="16"/>
                <w:szCs w:val="16"/>
                <w:lang w:val="hr-BA" w:eastAsia="sr-Latn-CS"/>
              </w:rPr>
              <w:t>0%                    2,</w:t>
            </w:r>
            <w:r w:rsidR="006773CD" w:rsidRPr="00956F2B">
              <w:rPr>
                <w:rFonts w:ascii="Arial" w:hAnsi="Arial" w:cs="Arial"/>
                <w:kern w:val="1"/>
                <w:sz w:val="16"/>
                <w:szCs w:val="16"/>
                <w:lang w:val="hr-BA" w:eastAsia="sr-Latn-CS"/>
              </w:rPr>
              <w:t>3</w:t>
            </w:r>
            <w:r w:rsidRPr="00956F2B">
              <w:rPr>
                <w:rFonts w:ascii="Arial" w:hAnsi="Arial" w:cs="Arial"/>
                <w:kern w:val="1"/>
                <w:sz w:val="16"/>
                <w:szCs w:val="16"/>
                <w:lang w:val="hr-BA" w:eastAsia="sr-Latn-CS"/>
              </w:rPr>
              <w:t>0%</w:t>
            </w:r>
            <w:r w:rsidR="00A605A9" w:rsidRPr="00956F2B">
              <w:rPr>
                <w:rFonts w:ascii="Arial" w:hAnsi="Arial" w:cs="Arial"/>
                <w:kern w:val="1"/>
                <w:sz w:val="16"/>
                <w:szCs w:val="16"/>
                <w:lang w:val="hr-BA" w:eastAsia="sr-Latn-CS"/>
              </w:rPr>
              <w:t xml:space="preserve">           9</w:t>
            </w:r>
            <w:r w:rsidR="007F35A7" w:rsidRPr="00956F2B">
              <w:rPr>
                <w:rFonts w:ascii="Arial" w:hAnsi="Arial" w:cs="Arial"/>
                <w:kern w:val="1"/>
                <w:sz w:val="16"/>
                <w:szCs w:val="16"/>
                <w:lang w:val="hr-BA" w:eastAsia="sr-Latn-CS"/>
              </w:rPr>
              <w:t>38,90</w:t>
            </w:r>
            <w:r w:rsidR="00A605A9" w:rsidRPr="00956F2B">
              <w:rPr>
                <w:rFonts w:ascii="Arial" w:hAnsi="Arial" w:cs="Arial"/>
                <w:kern w:val="1"/>
                <w:sz w:val="16"/>
                <w:szCs w:val="16"/>
                <w:lang w:val="hr-BA" w:eastAsia="sr-Latn-CS"/>
              </w:rPr>
              <w:t xml:space="preserve">                  10.9</w:t>
            </w:r>
            <w:r w:rsidR="007F35A7" w:rsidRPr="00956F2B">
              <w:rPr>
                <w:rFonts w:ascii="Arial" w:hAnsi="Arial" w:cs="Arial"/>
                <w:kern w:val="1"/>
                <w:sz w:val="16"/>
                <w:szCs w:val="16"/>
                <w:lang w:val="hr-BA" w:eastAsia="sr-Latn-CS"/>
              </w:rPr>
              <w:t>38</w:t>
            </w:r>
            <w:r w:rsidR="00A605A9" w:rsidRPr="00956F2B">
              <w:rPr>
                <w:rFonts w:ascii="Arial" w:hAnsi="Arial" w:cs="Arial"/>
                <w:kern w:val="1"/>
                <w:sz w:val="16"/>
                <w:szCs w:val="16"/>
                <w:lang w:val="hr-BA" w:eastAsia="sr-Latn-CS"/>
              </w:rPr>
              <w:t>,</w:t>
            </w:r>
            <w:r w:rsidR="007F35A7" w:rsidRPr="00956F2B">
              <w:rPr>
                <w:rFonts w:ascii="Arial" w:hAnsi="Arial" w:cs="Arial"/>
                <w:kern w:val="1"/>
                <w:sz w:val="16"/>
                <w:szCs w:val="16"/>
                <w:lang w:val="hr-BA" w:eastAsia="sr-Latn-CS"/>
              </w:rPr>
              <w:t>90</w:t>
            </w:r>
          </w:p>
          <w:p w14:paraId="25DD606A" w14:textId="77777777" w:rsidR="00B7259E" w:rsidRPr="00956F2B" w:rsidRDefault="00B7259E" w:rsidP="00956F2B">
            <w:pPr>
              <w:widowControl w:val="0"/>
              <w:autoSpaceDE w:val="0"/>
              <w:autoSpaceDN w:val="0"/>
              <w:adjustRightInd w:val="0"/>
              <w:spacing w:after="0"/>
              <w:jc w:val="both"/>
              <w:rPr>
                <w:rFonts w:ascii="Arial" w:hAnsi="Arial" w:cs="Arial"/>
                <w:kern w:val="1"/>
                <w:sz w:val="16"/>
                <w:szCs w:val="16"/>
                <w:lang w:val="hr-BA" w:eastAsia="sr-Latn-CS"/>
              </w:rPr>
            </w:pPr>
            <w:r w:rsidRPr="00956F2B">
              <w:rPr>
                <w:rFonts w:ascii="Arial" w:hAnsi="Arial" w:cs="Arial"/>
                <w:kern w:val="1"/>
                <w:sz w:val="16"/>
                <w:szCs w:val="16"/>
                <w:lang w:val="hr-BA" w:eastAsia="sr-Latn-CS"/>
              </w:rPr>
              <w:t>*Ukupan iznos depozita koji će se isplatiti Deponentu u valuti oročenja.</w:t>
            </w:r>
          </w:p>
          <w:p w14:paraId="38C88F29" w14:textId="77777777" w:rsidR="00B80B35" w:rsidRPr="00956F2B" w:rsidRDefault="004121B9" w:rsidP="00956F2B">
            <w:pPr>
              <w:widowControl w:val="0"/>
              <w:autoSpaceDE w:val="0"/>
              <w:autoSpaceDN w:val="0"/>
              <w:adjustRightInd w:val="0"/>
              <w:spacing w:after="0"/>
              <w:jc w:val="both"/>
              <w:rPr>
                <w:rFonts w:ascii="Arial" w:hAnsi="Arial" w:cs="Arial"/>
                <w:kern w:val="1"/>
                <w:sz w:val="16"/>
                <w:szCs w:val="16"/>
                <w:lang w:val="hr-BA" w:eastAsia="sr-Latn-CS"/>
              </w:rPr>
            </w:pPr>
            <w:r w:rsidRPr="00956F2B">
              <w:rPr>
                <w:rFonts w:ascii="Arial" w:hAnsi="Arial" w:cs="Arial"/>
                <w:kern w:val="1"/>
                <w:sz w:val="16"/>
                <w:szCs w:val="16"/>
                <w:lang w:val="hr-BA" w:eastAsia="sr-Latn-CS"/>
              </w:rPr>
              <w:t>Korisnik novčanog depozita u skladu sa članom  6. Zakona o porezu na dohodak nije obavezan na plaćanje poreza na kamatu po osnovu oročenih sredstava.</w:t>
            </w:r>
          </w:p>
        </w:tc>
      </w:tr>
      <w:tr w:rsidR="004121B9" w:rsidRPr="00B7259E" w14:paraId="5ACF4C20" w14:textId="77777777" w:rsidTr="009D7048">
        <w:tblPrEx>
          <w:tblCellMar>
            <w:top w:w="0" w:type="dxa"/>
            <w:bottom w:w="0" w:type="dxa"/>
          </w:tblCellMar>
        </w:tblPrEx>
        <w:trPr>
          <w:trHeight w:val="233"/>
        </w:trPr>
        <w:tc>
          <w:tcPr>
            <w:tcW w:w="515" w:type="dxa"/>
            <w:gridSpan w:val="2"/>
            <w:tcBorders>
              <w:top w:val="single" w:sz="6" w:space="0" w:color="auto"/>
              <w:left w:val="single" w:sz="6" w:space="0" w:color="auto"/>
              <w:bottom w:val="single" w:sz="6" w:space="0" w:color="auto"/>
              <w:right w:val="single" w:sz="6" w:space="0" w:color="auto"/>
            </w:tcBorders>
          </w:tcPr>
          <w:p w14:paraId="19C33700" w14:textId="77777777" w:rsidR="004121B9" w:rsidRPr="00B7259E" w:rsidRDefault="00D4349B" w:rsidP="00B7259E">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9</w:t>
            </w:r>
            <w:r w:rsidR="004121B9" w:rsidRPr="00B7259E">
              <w:rPr>
                <w:rFonts w:ascii="Arial" w:hAnsi="Arial" w:cs="Arial"/>
                <w:sz w:val="16"/>
                <w:szCs w:val="16"/>
                <w:lang w:val="hr-BA"/>
              </w:rPr>
              <w:t>.</w:t>
            </w:r>
          </w:p>
        </w:tc>
        <w:tc>
          <w:tcPr>
            <w:tcW w:w="2290" w:type="dxa"/>
            <w:tcBorders>
              <w:top w:val="single" w:sz="6" w:space="0" w:color="auto"/>
              <w:left w:val="nil"/>
              <w:bottom w:val="single" w:sz="6" w:space="0" w:color="auto"/>
              <w:right w:val="single" w:sz="6" w:space="0" w:color="auto"/>
            </w:tcBorders>
          </w:tcPr>
          <w:p w14:paraId="7121ADA6" w14:textId="77777777" w:rsidR="004121B9" w:rsidRPr="00956F2B" w:rsidRDefault="004121B9"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 xml:space="preserve">Naknada za vođenje oročenog depozita </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340FBCEB" w14:textId="77777777" w:rsidR="004121B9" w:rsidRPr="00956F2B" w:rsidRDefault="004121B9"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Banka ne obračunava naknadu za vođenje oročenih novčanih depozita.</w:t>
            </w:r>
          </w:p>
        </w:tc>
      </w:tr>
      <w:tr w:rsidR="00956F2B" w:rsidRPr="00B7259E" w14:paraId="5C61DF4D" w14:textId="77777777" w:rsidTr="009D7048">
        <w:tblPrEx>
          <w:tblCellMar>
            <w:top w:w="0" w:type="dxa"/>
            <w:bottom w:w="0" w:type="dxa"/>
          </w:tblCellMar>
        </w:tblPrEx>
        <w:trPr>
          <w:trHeight w:val="2947"/>
        </w:trPr>
        <w:tc>
          <w:tcPr>
            <w:tcW w:w="515" w:type="dxa"/>
            <w:gridSpan w:val="2"/>
            <w:tcBorders>
              <w:top w:val="single" w:sz="6" w:space="0" w:color="auto"/>
              <w:left w:val="single" w:sz="6" w:space="0" w:color="auto"/>
              <w:bottom w:val="single" w:sz="6" w:space="0" w:color="auto"/>
              <w:right w:val="single" w:sz="6" w:space="0" w:color="auto"/>
            </w:tcBorders>
          </w:tcPr>
          <w:p w14:paraId="5DA84FC6"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10.</w:t>
            </w:r>
          </w:p>
        </w:tc>
        <w:tc>
          <w:tcPr>
            <w:tcW w:w="2290" w:type="dxa"/>
            <w:tcBorders>
              <w:top w:val="single" w:sz="6" w:space="0" w:color="auto"/>
              <w:left w:val="nil"/>
              <w:bottom w:val="single" w:sz="6" w:space="0" w:color="auto"/>
              <w:right w:val="single" w:sz="6" w:space="0" w:color="auto"/>
            </w:tcBorders>
          </w:tcPr>
          <w:p w14:paraId="1D094B34" w14:textId="77777777" w:rsidR="00956F2B" w:rsidRPr="00956F2B" w:rsidRDefault="00956F2B"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rPr>
              <w:t>Naknada za vođenje vezne avista partije nakon isteka oročenja i promjenjivost naknade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0896CF6E" w14:textId="77777777" w:rsidR="00956F2B" w:rsidRPr="00956F2B" w:rsidRDefault="00956F2B" w:rsidP="00956F2B">
            <w:pPr>
              <w:widowControl w:val="0"/>
              <w:autoSpaceDN w:val="0"/>
              <w:adjustRightInd w:val="0"/>
              <w:spacing w:after="0"/>
              <w:rPr>
                <w:rFonts w:ascii="Arial" w:hAnsi="Arial" w:cs="Arial"/>
                <w:sz w:val="16"/>
                <w:szCs w:val="16"/>
                <w:lang w:val="hr-BA"/>
              </w:rPr>
            </w:pPr>
            <w:r w:rsidRPr="00956F2B">
              <w:rPr>
                <w:rFonts w:ascii="Arial" w:hAnsi="Arial" w:cs="Arial"/>
                <w:sz w:val="16"/>
                <w:szCs w:val="16"/>
                <w:lang w:val="hr-BA"/>
              </w:rPr>
              <w:t>Ako je vezna partija avista iz ugovora ista partiji oročenja i ukoliko Deponent ne ugasi veznu avista partiju nakon isteka oročenja, Banka će obračunavati i naplaćivati:</w:t>
            </w:r>
          </w:p>
          <w:p w14:paraId="1CA051A8" w14:textId="77777777" w:rsidR="00956F2B" w:rsidRPr="00956F2B" w:rsidRDefault="00956F2B" w:rsidP="00956F2B">
            <w:pPr>
              <w:widowControl w:val="0"/>
              <w:autoSpaceDN w:val="0"/>
              <w:adjustRightInd w:val="0"/>
              <w:spacing w:after="0"/>
              <w:rPr>
                <w:rFonts w:ascii="Arial" w:hAnsi="Arial" w:cs="Arial"/>
                <w:sz w:val="16"/>
                <w:szCs w:val="16"/>
                <w:lang w:val="hr-BA"/>
              </w:rPr>
            </w:pPr>
            <w:r w:rsidRPr="00956F2B">
              <w:rPr>
                <w:rFonts w:ascii="Arial" w:hAnsi="Arial" w:cs="Arial"/>
                <w:sz w:val="16"/>
                <w:szCs w:val="16"/>
                <w:lang w:val="hr-BA"/>
              </w:rPr>
              <w:t>- mjesečnu naknadu za vođenje avista vezne partije u iznosu 3,99 KM promjenjiva.</w:t>
            </w:r>
          </w:p>
          <w:p w14:paraId="4D695154" w14:textId="77777777" w:rsidR="00956F2B" w:rsidRPr="00956F2B" w:rsidRDefault="00956F2B" w:rsidP="00956F2B">
            <w:pPr>
              <w:widowControl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Banka neće obračunavati i naplaćivati naknadu za vođenje računa za kalendarski mjesec u kojem su sredstva nakon isteka oročenja prenesena na avista depozit. Naknada je promjenjiva.</w:t>
            </w:r>
            <w:bookmarkStart w:id="0" w:name="_Hlk143670336"/>
            <w:r w:rsidRPr="00956F2B">
              <w:rPr>
                <w:rFonts w:ascii="Arial" w:hAnsi="Arial" w:cs="Arial"/>
                <w:sz w:val="16"/>
                <w:szCs w:val="16"/>
              </w:rPr>
              <w:t xml:space="preserve"> Visina naknada za novčane depozite koje su ugovorene kao promjenjive, zavisi od ugovorenih elemenata koji se službeno objavljuju, (referentna kamatna stopa, indeks potrošačkih cijena, naknade nadležnih organa i dr.), a sve u skladu sa zakonskim propisima i zakljucenim ugovorima. Analizu troškova, odnosno parametara koji utiču na visinu naknada Banka vrši kvartalno, tako da se promjenjive naknade, u slučaju povećanja/smanjenja troškova, odnosno ekonomske opravdanosti poslovanja, mogu mijenjati kvartalno.</w:t>
            </w:r>
            <w:bookmarkStart w:id="1" w:name="_Hlk142314766"/>
            <w:r w:rsidRPr="00956F2B">
              <w:rPr>
                <w:rFonts w:ascii="Arial" w:hAnsi="Arial" w:cs="Arial"/>
                <w:sz w:val="16"/>
                <w:szCs w:val="16"/>
              </w:rPr>
              <w:t xml:space="preserve">O promjeni visine naknada Banka će Deponenta obavijestiti u zavisnosti </w:t>
            </w:r>
            <w:bookmarkStart w:id="2" w:name="_Hlk143670404"/>
            <w:bookmarkEnd w:id="0"/>
            <w:r w:rsidRPr="00956F2B">
              <w:rPr>
                <w:rFonts w:ascii="Arial" w:hAnsi="Arial" w:cs="Arial"/>
                <w:sz w:val="16"/>
                <w:szCs w:val="16"/>
              </w:rPr>
              <w:t>od vrste naknade koja se mijenja: putem e-mail adrese Deponenta ili putem SMS poruke ili putem drugog kanala komunikacije (Viber, WatssUp i si.), putem izvoda sa računa ili putem usluge e-bankinga ili m-bankinga ili putem drugog načina obavještavanja koji se u vrijeme dostave obavijesti o izmjeni smatra ili može smatrati uobičajenim ili prihvatljivim, a u svakom slučaju putem web stranice Banke i u svim poslovnim prostorijama Banke, i to najkasnije 15 dana prije početka primjene izmjenjenih naknada</w:t>
            </w:r>
            <w:r w:rsidRPr="00956F2B">
              <w:rPr>
                <w:rFonts w:ascii="Arial" w:hAnsi="Arial" w:cs="Arial"/>
                <w:color w:val="FF0000"/>
                <w:sz w:val="16"/>
                <w:szCs w:val="16"/>
              </w:rPr>
              <w:t>.</w:t>
            </w:r>
            <w:bookmarkEnd w:id="1"/>
            <w:bookmarkEnd w:id="2"/>
          </w:p>
        </w:tc>
      </w:tr>
      <w:tr w:rsidR="00956F2B" w:rsidRPr="00B7259E" w14:paraId="797F8295" w14:textId="77777777" w:rsidTr="009D7048">
        <w:tblPrEx>
          <w:tblCellMar>
            <w:top w:w="0" w:type="dxa"/>
            <w:bottom w:w="0" w:type="dxa"/>
          </w:tblCellMar>
        </w:tblPrEx>
        <w:trPr>
          <w:trHeight w:val="410"/>
        </w:trPr>
        <w:tc>
          <w:tcPr>
            <w:tcW w:w="515" w:type="dxa"/>
            <w:gridSpan w:val="2"/>
            <w:tcBorders>
              <w:top w:val="single" w:sz="6" w:space="0" w:color="auto"/>
              <w:left w:val="single" w:sz="6" w:space="0" w:color="auto"/>
              <w:bottom w:val="single" w:sz="6" w:space="0" w:color="auto"/>
              <w:right w:val="single" w:sz="6" w:space="0" w:color="auto"/>
            </w:tcBorders>
          </w:tcPr>
          <w:p w14:paraId="31C07A5F"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lastRenderedPageBreak/>
              <w:t>11.</w:t>
            </w:r>
          </w:p>
        </w:tc>
        <w:tc>
          <w:tcPr>
            <w:tcW w:w="2290" w:type="dxa"/>
            <w:tcBorders>
              <w:top w:val="single" w:sz="6" w:space="0" w:color="auto"/>
              <w:left w:val="nil"/>
              <w:bottom w:val="single" w:sz="6" w:space="0" w:color="auto"/>
              <w:right w:val="single" w:sz="6" w:space="0" w:color="auto"/>
            </w:tcBorders>
          </w:tcPr>
          <w:p w14:paraId="4023497B" w14:textId="77777777" w:rsidR="00956F2B" w:rsidRPr="00956F2B" w:rsidRDefault="00956F2B" w:rsidP="00956F2B">
            <w:pPr>
              <w:autoSpaceDE w:val="0"/>
              <w:autoSpaceDN w:val="0"/>
              <w:adjustRightInd w:val="0"/>
              <w:spacing w:after="0"/>
              <w:rPr>
                <w:rFonts w:ascii="Arial" w:hAnsi="Arial" w:cs="Arial"/>
                <w:sz w:val="16"/>
                <w:szCs w:val="16"/>
              </w:rPr>
            </w:pPr>
            <w:r w:rsidRPr="00956F2B">
              <w:rPr>
                <w:rFonts w:ascii="Arial" w:hAnsi="Arial" w:cs="Arial"/>
                <w:sz w:val="16"/>
                <w:szCs w:val="16"/>
              </w:rPr>
              <w:t xml:space="preserve">Obaveza korištenja notarskih usluga </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24C6CBA7" w14:textId="77777777" w:rsidR="00956F2B" w:rsidRPr="00956F2B" w:rsidRDefault="00956F2B" w:rsidP="00956F2B">
            <w:pPr>
              <w:widowControl w:val="0"/>
              <w:autoSpaceDN w:val="0"/>
              <w:adjustRightInd w:val="0"/>
              <w:spacing w:after="0"/>
              <w:rPr>
                <w:rFonts w:ascii="Arial" w:hAnsi="Arial" w:cs="Arial"/>
                <w:sz w:val="16"/>
                <w:szCs w:val="16"/>
                <w:lang w:val="hr-BA"/>
              </w:rPr>
            </w:pPr>
            <w:r w:rsidRPr="00956F2B">
              <w:rPr>
                <w:rFonts w:ascii="Arial" w:hAnsi="Arial" w:cs="Arial"/>
                <w:sz w:val="16"/>
                <w:szCs w:val="16"/>
                <w:lang w:val="hr-BA"/>
              </w:rPr>
              <w:t>Nije potrebno korištenje notarskih usluga za potrebe otvaranja nenamjenski oročenog depozita.</w:t>
            </w:r>
          </w:p>
        </w:tc>
      </w:tr>
      <w:tr w:rsidR="00956F2B" w:rsidRPr="00B7259E" w14:paraId="0D6E1967" w14:textId="77777777" w:rsidTr="009D7048">
        <w:tblPrEx>
          <w:tblCellMar>
            <w:top w:w="0" w:type="dxa"/>
            <w:bottom w:w="0" w:type="dxa"/>
          </w:tblCellMar>
        </w:tblPrEx>
        <w:trPr>
          <w:trHeight w:val="615"/>
        </w:trPr>
        <w:tc>
          <w:tcPr>
            <w:tcW w:w="515" w:type="dxa"/>
            <w:gridSpan w:val="2"/>
            <w:tcBorders>
              <w:top w:val="single" w:sz="6" w:space="0" w:color="auto"/>
              <w:left w:val="single" w:sz="6" w:space="0" w:color="auto"/>
              <w:bottom w:val="single" w:sz="6" w:space="0" w:color="auto"/>
              <w:right w:val="single" w:sz="6" w:space="0" w:color="auto"/>
            </w:tcBorders>
          </w:tcPr>
          <w:p w14:paraId="2BC181D2"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12.</w:t>
            </w:r>
          </w:p>
        </w:tc>
        <w:tc>
          <w:tcPr>
            <w:tcW w:w="2290" w:type="dxa"/>
            <w:tcBorders>
              <w:top w:val="single" w:sz="6" w:space="0" w:color="auto"/>
              <w:left w:val="nil"/>
              <w:bottom w:val="single" w:sz="6" w:space="0" w:color="auto"/>
              <w:right w:val="single" w:sz="6" w:space="0" w:color="auto"/>
            </w:tcBorders>
          </w:tcPr>
          <w:p w14:paraId="399E1A26" w14:textId="77777777" w:rsidR="00956F2B" w:rsidRPr="00956F2B" w:rsidRDefault="00956F2B" w:rsidP="00956F2B">
            <w:pPr>
              <w:autoSpaceDE w:val="0"/>
              <w:autoSpaceDN w:val="0"/>
              <w:adjustRightInd w:val="0"/>
              <w:spacing w:after="0"/>
              <w:rPr>
                <w:rFonts w:ascii="Arial" w:hAnsi="Arial" w:cs="Arial"/>
                <w:sz w:val="16"/>
                <w:szCs w:val="16"/>
              </w:rPr>
            </w:pPr>
            <w:r w:rsidRPr="00956F2B">
              <w:rPr>
                <w:rFonts w:ascii="Arial" w:hAnsi="Arial" w:cs="Arial"/>
                <w:sz w:val="16"/>
                <w:szCs w:val="16"/>
              </w:rPr>
              <w:t>Ugovaranje dodatnih usluga i proizvoda Banke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015DFAE0" w14:textId="77777777" w:rsidR="00956F2B" w:rsidRPr="00956F2B" w:rsidRDefault="00956F2B" w:rsidP="00956F2B">
            <w:pPr>
              <w:widowControl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Banka ne zahtjeva ugovaranje posebnog avista/tekućeg računa osim u slučaju ugovaranja obračuna i isplate kamate mjesečno/kvartalno/polugodišnje/godišnje, u kojem slučaju su svi uslovi otvaranja avista/tekućeg računa definisani u informacionom listu za predmetni račun, a koji će se klijentu uručiti prije ugovaranja istog.</w:t>
            </w:r>
          </w:p>
        </w:tc>
      </w:tr>
      <w:tr w:rsidR="00956F2B" w:rsidRPr="00B7259E" w14:paraId="1B3D3560" w14:textId="77777777" w:rsidTr="009D7048">
        <w:tblPrEx>
          <w:tblCellMar>
            <w:top w:w="0" w:type="dxa"/>
            <w:bottom w:w="0" w:type="dxa"/>
          </w:tblCellMar>
        </w:tblPrEx>
        <w:trPr>
          <w:trHeight w:val="2822"/>
        </w:trPr>
        <w:tc>
          <w:tcPr>
            <w:tcW w:w="515" w:type="dxa"/>
            <w:gridSpan w:val="2"/>
            <w:tcBorders>
              <w:top w:val="single" w:sz="6" w:space="0" w:color="auto"/>
              <w:left w:val="single" w:sz="6" w:space="0" w:color="auto"/>
              <w:bottom w:val="single" w:sz="6" w:space="0" w:color="auto"/>
              <w:right w:val="single" w:sz="6" w:space="0" w:color="auto"/>
            </w:tcBorders>
          </w:tcPr>
          <w:p w14:paraId="53D13678"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13.</w:t>
            </w:r>
          </w:p>
        </w:tc>
        <w:tc>
          <w:tcPr>
            <w:tcW w:w="2290" w:type="dxa"/>
            <w:tcBorders>
              <w:top w:val="single" w:sz="6" w:space="0" w:color="auto"/>
              <w:left w:val="nil"/>
              <w:bottom w:val="single" w:sz="6" w:space="0" w:color="auto"/>
              <w:right w:val="single" w:sz="6" w:space="0" w:color="auto"/>
            </w:tcBorders>
          </w:tcPr>
          <w:p w14:paraId="1C238BD3"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rPr>
              <w:t>Uslovi i način automatskog produžavanja oročenja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1AB7E0F1" w14:textId="77777777" w:rsidR="00956F2B" w:rsidRPr="00956F2B" w:rsidRDefault="00956F2B" w:rsidP="00956F2B">
            <w:pPr>
              <w:spacing w:after="0"/>
              <w:jc w:val="both"/>
              <w:rPr>
                <w:rFonts w:ascii="Arial" w:hAnsi="Arial" w:cs="Arial"/>
                <w:sz w:val="16"/>
                <w:szCs w:val="16"/>
                <w:lang w:val="hr-BA"/>
              </w:rPr>
            </w:pPr>
            <w:r w:rsidRPr="00956F2B">
              <w:rPr>
                <w:rFonts w:ascii="Arial" w:hAnsi="Arial" w:cs="Arial"/>
                <w:kern w:val="1"/>
                <w:sz w:val="16"/>
                <w:szCs w:val="16"/>
                <w:lang w:val="hr-BA" w:eastAsia="sr-Latn-CS"/>
              </w:rPr>
              <w:t xml:space="preserve">Depozit se ugovara sa ili bez mogućnosti automatskog produženja Ugovora. Ukoliko je ugovorena klauzula automatskog produženja depozit </w:t>
            </w:r>
            <w:r w:rsidRPr="00956F2B">
              <w:rPr>
                <w:rFonts w:ascii="Arial" w:hAnsi="Arial" w:cs="Arial"/>
                <w:sz w:val="16"/>
                <w:szCs w:val="16"/>
                <w:lang w:val="hr-BA"/>
              </w:rPr>
              <w:t>se može automatski produžiti na isti rok i pod uslovima važećim na dan isteka oročenja, a u skladu sa važećom Odlukom o kamatnim stopama NLB banke d.d. Sarajevo. U slučaju automatskog produženja oročenja Banka će obavijestiti Deponenta putem e-mail adrese najkasnije 15 (petnaest) dana prije isteka roka oročenja o roku na koji se ugovor produžuje i o novoj kamatnoj stopi, a Deponent ima pravo da u roku od 30 (trideset) dana od dana prijema navedenog obavještenja ugovor raskine, bez naknade i uz kamatu ugovorenu za istekli period oročenja.</w:t>
            </w:r>
            <w:bookmarkStart w:id="3" w:name="_Hlk105658254"/>
            <w:r w:rsidRPr="00956F2B">
              <w:rPr>
                <w:rFonts w:ascii="Arial" w:hAnsi="Arial" w:cs="Arial"/>
                <w:sz w:val="16"/>
                <w:szCs w:val="16"/>
                <w:lang w:val="hr-BA" w:eastAsia="en-US"/>
              </w:rPr>
              <w:t xml:space="preserve">Ukoliko Deponent ne koristi e-mail, te nema e-mail adresu na koju Banka može poslati obavijest  o uslovima automatskog reoročenja, ista će biti dostavljena Deponetu na način definisan članom 12 ili 11. Ugovora, odnosno putem pošte. U opisanom slučaju smatra se da je Deponent o uslovima automatskog reoročenja upoznat u momentu  dostavljanja obavijesti, te isti ima pravo da u roku od 30  (trideset) dana raskine Ugovor, bez naknade  i uz kamatu ugovorenu za istekli period oročenja. U naprijed  navedenim slučajevima, kada Deponent ne želi da se izvrši automatsko reoročenje, oročenje ističe zadnjeg dana ugovorenog roka, te je Deponent ovlašten raspolagati novčanim sredstvima najranije slijedećeg radnog dana nakon isteka perioda oročenja. </w:t>
            </w:r>
            <w:r w:rsidRPr="00956F2B">
              <w:rPr>
                <w:rFonts w:ascii="Arial" w:hAnsi="Arial" w:cs="Arial"/>
                <w:sz w:val="16"/>
                <w:szCs w:val="16"/>
                <w:lang w:val="hr-BA" w:eastAsia="sr-Latn-BA"/>
              </w:rPr>
              <w:t xml:space="preserve">Banka zadržava pravo da ne produži Ugovor u kojem slučaju se obavezuje najkasnije 15 (petnaest)  dana prije isteka perioda oročenja dostaviti Deponentu pisanu obavijest o tome, čime se Ugovor neće automatski produžiti, a novčana sredstva Deponenta će se prebaciti na partiju iz člana 2. Ugovora, te će se na ista od momenta isteka oročenja obračunavati kamata na avista sredstva u skladu sa </w:t>
            </w:r>
            <w:bookmarkStart w:id="4" w:name="_Hlk174008002"/>
            <w:bookmarkStart w:id="5" w:name="_Hlk174087126"/>
            <w:r w:rsidRPr="00956F2B">
              <w:rPr>
                <w:rFonts w:ascii="Arial" w:hAnsi="Arial" w:cs="Arial"/>
                <w:sz w:val="16"/>
                <w:szCs w:val="16"/>
                <w:lang w:val="hr-BA" w:eastAsia="en-US"/>
              </w:rPr>
              <w:t>Odlukom o kamatnim stopama NLB banke d.d. Sarajevo</w:t>
            </w:r>
            <w:bookmarkEnd w:id="4"/>
            <w:bookmarkEnd w:id="5"/>
            <w:r w:rsidRPr="00956F2B">
              <w:rPr>
                <w:rFonts w:ascii="Arial" w:hAnsi="Arial" w:cs="Arial"/>
                <w:sz w:val="16"/>
                <w:szCs w:val="16"/>
                <w:lang w:val="hr-BA" w:eastAsia="sr-Latn-BA"/>
              </w:rPr>
              <w:t>.</w:t>
            </w:r>
            <w:bookmarkEnd w:id="3"/>
          </w:p>
        </w:tc>
      </w:tr>
      <w:tr w:rsidR="00956F2B" w:rsidRPr="00B7259E" w14:paraId="05F0A510" w14:textId="77777777" w:rsidTr="009D7048">
        <w:tblPrEx>
          <w:tblCellMar>
            <w:top w:w="0" w:type="dxa"/>
            <w:bottom w:w="0" w:type="dxa"/>
          </w:tblCellMar>
        </w:tblPrEx>
        <w:trPr>
          <w:trHeight w:val="566"/>
        </w:trPr>
        <w:tc>
          <w:tcPr>
            <w:tcW w:w="515" w:type="dxa"/>
            <w:gridSpan w:val="2"/>
            <w:tcBorders>
              <w:top w:val="single" w:sz="6" w:space="0" w:color="auto"/>
              <w:left w:val="single" w:sz="6" w:space="0" w:color="auto"/>
              <w:bottom w:val="single" w:sz="6" w:space="0" w:color="auto"/>
              <w:right w:val="single" w:sz="6" w:space="0" w:color="auto"/>
            </w:tcBorders>
          </w:tcPr>
          <w:p w14:paraId="163563B7"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14.</w:t>
            </w:r>
          </w:p>
        </w:tc>
        <w:tc>
          <w:tcPr>
            <w:tcW w:w="2290" w:type="dxa"/>
            <w:tcBorders>
              <w:top w:val="single" w:sz="6" w:space="0" w:color="auto"/>
              <w:left w:val="nil"/>
              <w:bottom w:val="single" w:sz="6" w:space="0" w:color="auto"/>
              <w:right w:val="single" w:sz="6" w:space="0" w:color="auto"/>
            </w:tcBorders>
          </w:tcPr>
          <w:p w14:paraId="193F3408"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Iznos osiguranog depozita kod Agencije za osiguranje depozita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BBD480" w14:textId="77777777" w:rsidR="00956F2B" w:rsidRPr="00956F2B" w:rsidRDefault="00956F2B" w:rsidP="00956F2B">
            <w:pPr>
              <w:spacing w:after="0"/>
              <w:jc w:val="both"/>
              <w:rPr>
                <w:rFonts w:ascii="Arial" w:hAnsi="Arial" w:cs="Arial"/>
                <w:iCs/>
                <w:sz w:val="16"/>
                <w:szCs w:val="16"/>
                <w:lang w:val="hr-BA" w:eastAsia="en-US"/>
              </w:rPr>
            </w:pPr>
            <w:r w:rsidRPr="00956F2B">
              <w:rPr>
                <w:rFonts w:ascii="Arial" w:hAnsi="Arial" w:cs="Arial"/>
                <w:iCs/>
                <w:sz w:val="16"/>
                <w:szCs w:val="16"/>
                <w:lang w:val="hr-BA" w:eastAsia="en-US"/>
              </w:rPr>
              <w:t xml:space="preserve"> </w:t>
            </w:r>
            <w:r w:rsidRPr="00956F2B">
              <w:rPr>
                <w:rFonts w:ascii="Arial" w:hAnsi="Arial" w:cs="Arial"/>
                <w:iCs/>
                <w:sz w:val="16"/>
                <w:szCs w:val="16"/>
                <w:lang w:val="hr-BA"/>
              </w:rPr>
              <w:t xml:space="preserve">Ugovorne strane saglasno utvrđuju da su novčani depoziti kod Agencije za osiguranje depozita BiH osigurani do ukupnog iznosa od </w:t>
            </w:r>
            <w:r w:rsidRPr="00956F2B">
              <w:rPr>
                <w:rFonts w:ascii="Arial" w:hAnsi="Arial" w:cs="Arial"/>
                <w:iCs/>
                <w:color w:val="000000"/>
                <w:sz w:val="16"/>
                <w:szCs w:val="16"/>
                <w:lang w:val="hr-BA"/>
              </w:rPr>
              <w:t>7</w:t>
            </w:r>
            <w:r w:rsidRPr="00956F2B">
              <w:rPr>
                <w:rFonts w:ascii="Arial" w:hAnsi="Arial" w:cs="Arial"/>
                <w:iCs/>
                <w:sz w:val="16"/>
                <w:szCs w:val="16"/>
                <w:lang w:val="hr-BA"/>
              </w:rPr>
              <w:t>0.000,00 KM, u koji iznos su uključene i kamate, a umanjeno za isključenja definisana odredbama Zakona o osiguranju depozita u bankama Bosne i Hercegovine</w:t>
            </w:r>
            <w:r w:rsidRPr="00956F2B">
              <w:rPr>
                <w:rFonts w:ascii="Arial" w:hAnsi="Arial" w:cs="Arial"/>
                <w:i/>
                <w:iCs/>
                <w:sz w:val="16"/>
                <w:szCs w:val="16"/>
                <w:lang w:val="hr-BA"/>
              </w:rPr>
              <w:t>.</w:t>
            </w:r>
          </w:p>
          <w:p w14:paraId="48D3F1D0" w14:textId="77777777" w:rsidR="00956F2B" w:rsidRPr="00956F2B" w:rsidRDefault="00956F2B" w:rsidP="00956F2B">
            <w:pPr>
              <w:spacing w:after="0"/>
              <w:jc w:val="both"/>
              <w:rPr>
                <w:rFonts w:ascii="Arial" w:hAnsi="Arial" w:cs="Arial"/>
                <w:color w:val="FF0000"/>
                <w:sz w:val="16"/>
                <w:szCs w:val="16"/>
                <w:lang w:val="hr-BA"/>
              </w:rPr>
            </w:pPr>
            <w:r w:rsidRPr="00956F2B">
              <w:rPr>
                <w:rFonts w:ascii="Arial" w:hAnsi="Arial" w:cs="Arial"/>
                <w:sz w:val="16"/>
                <w:szCs w:val="16"/>
                <w:lang w:val="hr-BA"/>
              </w:rPr>
              <w:t>Prikladan depozit je ukupan iznos svih sredstava koji rezultiraju iz depozita, štednih računa ili certifikata banke koje je klijent deponirao u banci članici, umanjeno za isključenja iz člana 6. Zakona o osiguranju depozita u bankama Bosne i Hercegovine.</w:t>
            </w:r>
          </w:p>
        </w:tc>
      </w:tr>
      <w:tr w:rsidR="00956F2B" w:rsidRPr="00B7259E" w14:paraId="188F8B2C" w14:textId="77777777" w:rsidTr="009D7048">
        <w:tblPrEx>
          <w:tblCellMar>
            <w:top w:w="0" w:type="dxa"/>
            <w:bottom w:w="0" w:type="dxa"/>
          </w:tblCellMar>
        </w:tblPrEx>
        <w:trPr>
          <w:trHeight w:val="2212"/>
        </w:trPr>
        <w:tc>
          <w:tcPr>
            <w:tcW w:w="515" w:type="dxa"/>
            <w:gridSpan w:val="2"/>
            <w:tcBorders>
              <w:top w:val="single" w:sz="6" w:space="0" w:color="auto"/>
              <w:left w:val="single" w:sz="6" w:space="0" w:color="auto"/>
              <w:bottom w:val="single" w:sz="6" w:space="0" w:color="auto"/>
              <w:right w:val="single" w:sz="6" w:space="0" w:color="auto"/>
            </w:tcBorders>
          </w:tcPr>
          <w:p w14:paraId="7BF90AE2"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15.</w:t>
            </w:r>
          </w:p>
        </w:tc>
        <w:tc>
          <w:tcPr>
            <w:tcW w:w="2290" w:type="dxa"/>
            <w:tcBorders>
              <w:top w:val="single" w:sz="6" w:space="0" w:color="auto"/>
              <w:left w:val="nil"/>
              <w:bottom w:val="single" w:sz="6" w:space="0" w:color="auto"/>
              <w:right w:val="single" w:sz="6" w:space="0" w:color="auto"/>
            </w:tcBorders>
          </w:tcPr>
          <w:p w14:paraId="1C238986"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Raskid oročenja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1A5F9241" w14:textId="77777777" w:rsidR="00956F2B" w:rsidRPr="00956F2B" w:rsidRDefault="00956F2B" w:rsidP="00956F2B">
            <w:pPr>
              <w:spacing w:after="0"/>
              <w:jc w:val="both"/>
              <w:rPr>
                <w:rFonts w:ascii="Arial" w:hAnsi="Arial" w:cs="Arial"/>
                <w:sz w:val="16"/>
                <w:szCs w:val="16"/>
                <w:lang w:val="hr-BA" w:eastAsia="en-US"/>
              </w:rPr>
            </w:pPr>
            <w:r w:rsidRPr="00956F2B">
              <w:rPr>
                <w:rFonts w:ascii="Arial" w:hAnsi="Arial" w:cs="Arial"/>
                <w:sz w:val="16"/>
                <w:szCs w:val="16"/>
                <w:lang w:val="hr-BA" w:eastAsia="en-US"/>
              </w:rPr>
              <w:t>Deponent može prijevremeno raskinuti Ugovor o oročenom depozitu ako pisanim putem otkaže Ugovor  o depozitu 35 dana prije prijevremenog raskida oročenog depozita.</w:t>
            </w:r>
          </w:p>
          <w:p w14:paraId="5F7A8068" w14:textId="77777777" w:rsidR="00956F2B" w:rsidRPr="00956F2B" w:rsidRDefault="00956F2B" w:rsidP="00956F2B">
            <w:pPr>
              <w:spacing w:after="0"/>
              <w:jc w:val="both"/>
              <w:rPr>
                <w:rFonts w:ascii="Arial" w:hAnsi="Arial" w:cs="Arial"/>
                <w:sz w:val="16"/>
                <w:szCs w:val="16"/>
                <w:lang w:val="hr-BA" w:eastAsia="en-US"/>
              </w:rPr>
            </w:pPr>
            <w:r w:rsidRPr="00956F2B">
              <w:rPr>
                <w:rFonts w:ascii="Arial" w:hAnsi="Arial" w:cs="Arial"/>
                <w:sz w:val="16"/>
                <w:szCs w:val="16"/>
                <w:lang w:val="hr-BA" w:eastAsia="en-US"/>
              </w:rPr>
              <w:t xml:space="preserve">U izuzetno opravdanim slučajevima Banka može odobriti prijevremeni raskid Ugovora uz otkazni rok u trajanju od najmanje 1 dana po zahtjevu Deponenta i uz navođenje razloga prijevremenog raskida. </w:t>
            </w:r>
          </w:p>
          <w:p w14:paraId="799D09D8" w14:textId="77777777" w:rsidR="00956F2B" w:rsidRPr="00956F2B" w:rsidRDefault="00956F2B" w:rsidP="00956F2B">
            <w:pPr>
              <w:spacing w:after="0"/>
              <w:jc w:val="both"/>
              <w:rPr>
                <w:rFonts w:ascii="Arial" w:hAnsi="Arial" w:cs="Arial"/>
                <w:color w:val="FF0000"/>
                <w:sz w:val="16"/>
                <w:szCs w:val="16"/>
                <w:lang w:val="hr-BA"/>
              </w:rPr>
            </w:pPr>
            <w:r w:rsidRPr="00956F2B">
              <w:rPr>
                <w:rFonts w:ascii="Arial" w:hAnsi="Arial" w:cs="Arial"/>
                <w:sz w:val="16"/>
                <w:szCs w:val="16"/>
                <w:lang w:val="hr-BA" w:eastAsia="en-US"/>
              </w:rPr>
              <w:t>Uz pismeni zahtjev, Deponent je dužan priložiti i adekvatnu dokumentaciju kojom dokazuje opravdanost podnesenog zahtjeva. Pod izuzetnim slučajevima se smatraju nepredviđene okolnosti usIjed kojih Deponent ima potrebu za prijevremenim raskidom oročenog depozita. Nepredviđene okolnosti su: smrt člana uže porodice (bračni partner, djeca i roditelji)</w:t>
            </w:r>
            <w:r w:rsidRPr="00956F2B">
              <w:rPr>
                <w:rFonts w:ascii="Arial" w:hAnsi="Arial" w:cs="Arial"/>
                <w:sz w:val="16"/>
                <w:szCs w:val="16"/>
                <w:lang w:eastAsia="en-US"/>
              </w:rPr>
              <w:t>,</w:t>
            </w:r>
            <w:r w:rsidRPr="00956F2B">
              <w:rPr>
                <w:rFonts w:ascii="Arial" w:hAnsi="Arial" w:cs="Arial"/>
                <w:sz w:val="16"/>
                <w:szCs w:val="16"/>
                <w:lang w:val="hr-BA" w:eastAsia="en-US"/>
              </w:rPr>
              <w:t xml:space="preserve"> iznenadna teška bolest uključujući i nezgode koje su uzrokovale teške tjelesne povrede Deponenta ili člana</w:t>
            </w:r>
            <w:r w:rsidRPr="00956F2B">
              <w:rPr>
                <w:rFonts w:ascii="Arial" w:hAnsi="Arial" w:cs="Arial"/>
                <w:sz w:val="16"/>
                <w:szCs w:val="16"/>
                <w:lang w:eastAsia="en-US"/>
              </w:rPr>
              <w:t xml:space="preserve"> uže </w:t>
            </w:r>
            <w:r w:rsidRPr="00956F2B">
              <w:rPr>
                <w:rFonts w:ascii="Arial" w:hAnsi="Arial" w:cs="Arial"/>
                <w:sz w:val="16"/>
                <w:szCs w:val="16"/>
                <w:lang w:val="hr-BA" w:eastAsia="en-US"/>
              </w:rPr>
              <w:t>porodice, prestanak radnog odnosa Deponenta, teška materijalna stanja izazvana prirodnom silom  (zemljotres, požar, poplava), koja za posljedicu imaju  značajno  oštećenje nekretnine u kojoj Deponent živi. Uslovi obračuna kamate u slučaju prijevremenog razročenja regulisat će se ugovorom.</w:t>
            </w:r>
          </w:p>
        </w:tc>
      </w:tr>
      <w:tr w:rsidR="00956F2B" w:rsidRPr="00B7259E" w14:paraId="6C800875" w14:textId="77777777" w:rsidTr="009D7048">
        <w:tblPrEx>
          <w:tblCellMar>
            <w:top w:w="0" w:type="dxa"/>
            <w:bottom w:w="0" w:type="dxa"/>
          </w:tblCellMar>
        </w:tblPrEx>
        <w:trPr>
          <w:trHeight w:val="291"/>
        </w:trPr>
        <w:tc>
          <w:tcPr>
            <w:tcW w:w="515" w:type="dxa"/>
            <w:gridSpan w:val="2"/>
            <w:tcBorders>
              <w:top w:val="single" w:sz="6" w:space="0" w:color="auto"/>
              <w:left w:val="single" w:sz="6" w:space="0" w:color="auto"/>
              <w:bottom w:val="single" w:sz="6" w:space="0" w:color="auto"/>
              <w:right w:val="single" w:sz="6" w:space="0" w:color="auto"/>
            </w:tcBorders>
          </w:tcPr>
          <w:p w14:paraId="55DAD972"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16.</w:t>
            </w:r>
          </w:p>
        </w:tc>
        <w:tc>
          <w:tcPr>
            <w:tcW w:w="2290" w:type="dxa"/>
            <w:tcBorders>
              <w:top w:val="single" w:sz="6" w:space="0" w:color="auto"/>
              <w:left w:val="nil"/>
              <w:bottom w:val="single" w:sz="6" w:space="0" w:color="auto"/>
              <w:right w:val="single" w:sz="6" w:space="0" w:color="auto"/>
            </w:tcBorders>
          </w:tcPr>
          <w:p w14:paraId="47D4C8AC"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Raskid oročenja u slučajevima prinudne naplate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49235BA8" w14:textId="77777777" w:rsidR="00956F2B" w:rsidRPr="00956F2B" w:rsidRDefault="00956F2B" w:rsidP="00956F2B">
            <w:pPr>
              <w:spacing w:after="0"/>
              <w:jc w:val="both"/>
              <w:rPr>
                <w:rFonts w:ascii="Arial" w:hAnsi="Arial" w:cs="Arial"/>
                <w:kern w:val="1"/>
                <w:sz w:val="16"/>
                <w:szCs w:val="16"/>
                <w:lang w:val="hr-BA" w:eastAsia="sr-Latn-CS"/>
              </w:rPr>
            </w:pPr>
            <w:r w:rsidRPr="00956F2B">
              <w:rPr>
                <w:rFonts w:ascii="Arial" w:hAnsi="Arial" w:cs="Arial"/>
                <w:sz w:val="16"/>
                <w:szCs w:val="16"/>
                <w:lang w:val="hr-BA" w:eastAsia="en-US"/>
              </w:rPr>
              <w:t>Banka je dužna dа po prijemu naloga za prinudnu naplatu raskine Ugovor i</w:t>
            </w:r>
            <w:r w:rsidRPr="00956F2B">
              <w:rPr>
                <w:rFonts w:ascii="Arial" w:hAnsi="Arial" w:cs="Arial"/>
                <w:sz w:val="16"/>
                <w:szCs w:val="16"/>
                <w:lang w:val="sl-SI" w:eastAsia="en-US"/>
              </w:rPr>
              <w:t xml:space="preserve"> </w:t>
            </w:r>
            <w:r w:rsidRPr="00956F2B">
              <w:rPr>
                <w:rFonts w:ascii="Arial" w:hAnsi="Arial" w:cs="Arial"/>
                <w:sz w:val="16"/>
                <w:szCs w:val="16"/>
                <w:lang w:val="hr-BA" w:eastAsia="en-US"/>
              </w:rPr>
              <w:t>оrоčеnа srеdstvа, zајеdnо sа pripаdајućim kаmаtаmа dо mоmеntа rаskidа ugоvоrа, dоznаči nа rаčun Deponenta naveden u Ugovoru sa kojeg će se izvršiti prenos sredstava na račun naveden u nalogu za prinudnu naplatu, dо visinе nеdоstајućih srеdstаvа zа izvršеnjе nаlоgа (osim ukoliko su sredstva namjenski oročena odnosno založena), radi izvršenja naloga za prinudnu naplatu u sklаdu sа Zаkоnоm o unutrašnjem platnom prometu FBiH i internim aktima Banke. Na opisani način Banka je obavezna postupati istog dana, odnosno prvog narednog radnog dana u slučaju da na računima Deponenta u konvertibilnim markama i deviznim računima</w:t>
            </w:r>
            <w:r w:rsidRPr="00956F2B" w:rsidDel="001430D8">
              <w:rPr>
                <w:rFonts w:ascii="Arial" w:hAnsi="Arial" w:cs="Arial"/>
                <w:sz w:val="16"/>
                <w:szCs w:val="16"/>
                <w:lang w:val="hr-BA" w:eastAsia="en-US"/>
              </w:rPr>
              <w:t xml:space="preserve"> </w:t>
            </w:r>
            <w:r w:rsidRPr="00956F2B">
              <w:rPr>
                <w:rFonts w:ascii="Arial" w:hAnsi="Arial" w:cs="Arial"/>
                <w:sz w:val="16"/>
                <w:szCs w:val="16"/>
                <w:lang w:val="hr-BA" w:eastAsia="en-US"/>
              </w:rPr>
              <w:t xml:space="preserve">nema dovoljno sredstava za izvršenje naloga za prisilnu naplatu. Deponent mоžе rаskinuti Ugоvоr rаdi izvršеnjа nаlоgа zа prinudnu nаplаtu, u skladu sa odredbama koje regulišu prijevremeni raskid ugovora. U slučajevima iz prethodnih stavova ove tačke Banka, do momenta raskida Ugovora, obračun kamate vrši prema odredbama ovog ugovora kojim je regulisan obračun kamate u slučaju prijevremenog raskida Ugovora. </w:t>
            </w:r>
            <w:r w:rsidRPr="00956F2B">
              <w:rPr>
                <w:rFonts w:ascii="Arial" w:hAnsi="Arial" w:cs="Arial"/>
                <w:kern w:val="1"/>
                <w:sz w:val="16"/>
                <w:szCs w:val="16"/>
                <w:lang w:val="hr-BA" w:eastAsia="sr-Latn-CS"/>
              </w:rPr>
              <w:t>Ugovor se može raskinuti i u drugim slučajevima predviđenim zakonom i Opštim uslovima poslovanja Banke, a što će se regulisati ugovornim odredbama.</w:t>
            </w:r>
            <w:r w:rsidRPr="00956F2B">
              <w:rPr>
                <w:rFonts w:ascii="Arial" w:hAnsi="Arial" w:cs="Arial"/>
                <w:sz w:val="16"/>
                <w:szCs w:val="16"/>
                <w:lang w:val="hr-BA" w:eastAsia="en-US"/>
              </w:rPr>
              <w:t xml:space="preserve"> </w:t>
            </w:r>
          </w:p>
        </w:tc>
      </w:tr>
      <w:tr w:rsidR="00956F2B" w:rsidRPr="00B7259E" w14:paraId="1CE2B599" w14:textId="77777777" w:rsidTr="009D7048">
        <w:tblPrEx>
          <w:tblCellMar>
            <w:top w:w="0" w:type="dxa"/>
            <w:bottom w:w="0" w:type="dxa"/>
          </w:tblCellMar>
        </w:tblPrEx>
        <w:trPr>
          <w:trHeight w:val="1834"/>
        </w:trPr>
        <w:tc>
          <w:tcPr>
            <w:tcW w:w="515" w:type="dxa"/>
            <w:gridSpan w:val="2"/>
            <w:tcBorders>
              <w:top w:val="single" w:sz="6" w:space="0" w:color="auto"/>
              <w:left w:val="single" w:sz="6" w:space="0" w:color="auto"/>
              <w:bottom w:val="single" w:sz="6" w:space="0" w:color="auto"/>
              <w:right w:val="single" w:sz="6" w:space="0" w:color="auto"/>
            </w:tcBorders>
          </w:tcPr>
          <w:p w14:paraId="06D154D6"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17.</w:t>
            </w:r>
          </w:p>
        </w:tc>
        <w:tc>
          <w:tcPr>
            <w:tcW w:w="2290" w:type="dxa"/>
            <w:tcBorders>
              <w:top w:val="single" w:sz="6" w:space="0" w:color="auto"/>
              <w:left w:val="nil"/>
              <w:bottom w:val="single" w:sz="6" w:space="0" w:color="auto"/>
              <w:right w:val="single" w:sz="6" w:space="0" w:color="auto"/>
            </w:tcBorders>
          </w:tcPr>
          <w:p w14:paraId="27B0519D"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Kamata u slučaju prijevremenog razročenja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3237AC88" w14:textId="77777777" w:rsidR="00956F2B" w:rsidRPr="00956F2B" w:rsidRDefault="00956F2B" w:rsidP="00956F2B">
            <w:pPr>
              <w:spacing w:after="0"/>
              <w:jc w:val="both"/>
              <w:rPr>
                <w:rFonts w:ascii="Arial" w:hAnsi="Arial" w:cs="Arial"/>
                <w:sz w:val="16"/>
                <w:szCs w:val="16"/>
                <w:lang w:val="hr-BA"/>
              </w:rPr>
            </w:pPr>
            <w:r w:rsidRPr="00956F2B">
              <w:rPr>
                <w:rFonts w:ascii="Arial" w:hAnsi="Arial" w:cs="Arial"/>
                <w:sz w:val="16"/>
                <w:szCs w:val="16"/>
              </w:rPr>
              <w:t xml:space="preserve">Ukoliko Deponent zahtijeva prekid oročenja prije isteka roka oročenja, Banka će primjeniti kamatnu  stopu postignutog roka oročenja, odnosno najbližeg proteklog roka oročenja. Ukoliko </w:t>
            </w:r>
            <w:r w:rsidRPr="00956F2B">
              <w:rPr>
                <w:rFonts w:ascii="Arial" w:hAnsi="Arial" w:cs="Arial"/>
                <w:sz w:val="16"/>
                <w:szCs w:val="16"/>
                <w:lang w:val="hr-BA"/>
              </w:rPr>
              <w:t xml:space="preserve">zahtjev za prijevremeno razročenje bude podnesen prije isteka roka od 13 mjeseci od dana oročenja, Banka će obračunati kamatu koja je važeća u trenutku razročenja za avista depozite. Ukoliko zahtjev za prijevremeno razročenje bude podnesen poslije 13 mjeseci, obračunat će se po kamatnoj stopi koja je Odlukom o kamatnim stopama NLB Banke d.d. Sarajevo predviđena za najduži postignuti period oročenja nenamjenskog depozita. Obračun kamate za dostignuti period oročenja će se vršiti po kamatnoj/im stopi/ama koje su važile u toku perioda oročenja depozita. Banka depozit od dana isteka oročenja do dana razročenja tretira kao avista depozit. </w:t>
            </w:r>
            <w:r w:rsidRPr="00956F2B">
              <w:rPr>
                <w:rFonts w:ascii="Arial" w:hAnsi="Arial" w:cs="Arial"/>
                <w:sz w:val="16"/>
                <w:szCs w:val="16"/>
              </w:rPr>
              <w:t>Ukoliko je ranije obračunata kamata isplaćena, za razliku prethodnog i novog obračuna umanjuje se glavnica novčanog depozita.</w:t>
            </w:r>
          </w:p>
        </w:tc>
      </w:tr>
      <w:tr w:rsidR="00956F2B" w:rsidRPr="00B7259E" w14:paraId="06CC9A01" w14:textId="77777777" w:rsidTr="009D7048">
        <w:tblPrEx>
          <w:tblCellMar>
            <w:top w:w="0" w:type="dxa"/>
            <w:bottom w:w="0" w:type="dxa"/>
          </w:tblCellMar>
        </w:tblPrEx>
        <w:trPr>
          <w:trHeight w:val="291"/>
        </w:trPr>
        <w:tc>
          <w:tcPr>
            <w:tcW w:w="515" w:type="dxa"/>
            <w:gridSpan w:val="2"/>
            <w:tcBorders>
              <w:top w:val="single" w:sz="6" w:space="0" w:color="auto"/>
              <w:left w:val="single" w:sz="6" w:space="0" w:color="auto"/>
              <w:bottom w:val="single" w:sz="6" w:space="0" w:color="auto"/>
              <w:right w:val="single" w:sz="6" w:space="0" w:color="auto"/>
            </w:tcBorders>
          </w:tcPr>
          <w:p w14:paraId="405D8067"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18.</w:t>
            </w:r>
          </w:p>
          <w:p w14:paraId="5E13D6BE" w14:textId="77777777" w:rsidR="00956F2B" w:rsidRPr="00B7259E" w:rsidRDefault="00956F2B" w:rsidP="00956F2B">
            <w:pPr>
              <w:autoSpaceDE w:val="0"/>
              <w:autoSpaceDN w:val="0"/>
              <w:adjustRightInd w:val="0"/>
              <w:spacing w:after="0"/>
              <w:rPr>
                <w:rFonts w:ascii="Arial" w:hAnsi="Arial" w:cs="Arial"/>
                <w:sz w:val="16"/>
                <w:szCs w:val="16"/>
                <w:lang w:val="hr-BA"/>
              </w:rPr>
            </w:pPr>
          </w:p>
        </w:tc>
        <w:tc>
          <w:tcPr>
            <w:tcW w:w="2290" w:type="dxa"/>
            <w:tcBorders>
              <w:top w:val="single" w:sz="6" w:space="0" w:color="auto"/>
              <w:left w:val="nil"/>
              <w:bottom w:val="single" w:sz="6" w:space="0" w:color="auto"/>
              <w:right w:val="single" w:sz="6" w:space="0" w:color="auto"/>
            </w:tcBorders>
          </w:tcPr>
          <w:p w14:paraId="3A22235F"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Isplata novčanog depozita i kamate</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4AB3C003" w14:textId="77777777" w:rsidR="00956F2B" w:rsidRPr="00956F2B" w:rsidRDefault="00956F2B" w:rsidP="00956F2B">
            <w:pPr>
              <w:widowControl w:val="0"/>
              <w:autoSpaceDE w:val="0"/>
              <w:autoSpaceDN w:val="0"/>
              <w:adjustRightInd w:val="0"/>
              <w:spacing w:after="0"/>
              <w:jc w:val="both"/>
              <w:rPr>
                <w:rFonts w:ascii="Arial" w:hAnsi="Arial" w:cs="Arial"/>
                <w:b/>
                <w:bCs/>
                <w:kern w:val="1"/>
                <w:sz w:val="16"/>
                <w:szCs w:val="16"/>
                <w:lang w:val="hr-BA" w:eastAsia="sr-Latn-CS"/>
              </w:rPr>
            </w:pPr>
            <w:r w:rsidRPr="00956F2B">
              <w:rPr>
                <w:rFonts w:ascii="Arial" w:hAnsi="Arial" w:cs="Arial"/>
                <w:kern w:val="1"/>
                <w:sz w:val="16"/>
                <w:szCs w:val="16"/>
                <w:lang w:val="hr-BA" w:eastAsia="sr-Latn-CS"/>
              </w:rPr>
              <w:t>Banka vrši isplatu novčanog depozita</w:t>
            </w:r>
            <w:r w:rsidRPr="00956F2B">
              <w:rPr>
                <w:rFonts w:ascii="Arial" w:hAnsi="Arial" w:cs="Arial"/>
                <w:b/>
                <w:bCs/>
                <w:kern w:val="1"/>
                <w:sz w:val="16"/>
                <w:szCs w:val="16"/>
                <w:lang w:val="hr-BA" w:eastAsia="sr-Latn-CS"/>
              </w:rPr>
              <w:t xml:space="preserve"> </w:t>
            </w:r>
            <w:r w:rsidRPr="00956F2B">
              <w:rPr>
                <w:rFonts w:ascii="Arial" w:hAnsi="Arial" w:cs="Arial"/>
                <w:kern w:val="1"/>
                <w:sz w:val="16"/>
                <w:szCs w:val="16"/>
                <w:lang w:val="hr-BA" w:eastAsia="sr-Latn-CS"/>
              </w:rPr>
              <w:t>i kamate u valuti u kojoj je i deponovan na računima kod Banke</w:t>
            </w:r>
            <w:r w:rsidRPr="00956F2B">
              <w:rPr>
                <w:rFonts w:ascii="Arial" w:hAnsi="Arial" w:cs="Arial"/>
                <w:b/>
                <w:bCs/>
                <w:kern w:val="1"/>
                <w:sz w:val="16"/>
                <w:szCs w:val="16"/>
                <w:lang w:val="hr-BA" w:eastAsia="sr-Latn-CS"/>
              </w:rPr>
              <w:t>.</w:t>
            </w:r>
          </w:p>
          <w:p w14:paraId="6CDA1E62" w14:textId="77777777" w:rsidR="00956F2B" w:rsidRPr="00956F2B" w:rsidRDefault="00956F2B" w:rsidP="00956F2B">
            <w:pPr>
              <w:spacing w:after="0"/>
              <w:jc w:val="both"/>
              <w:rPr>
                <w:rFonts w:ascii="Arial" w:hAnsi="Arial" w:cs="Arial"/>
                <w:color w:val="FF0000"/>
                <w:sz w:val="16"/>
                <w:szCs w:val="16"/>
                <w:lang w:val="hr-BA" w:eastAsia="en-US"/>
              </w:rPr>
            </w:pPr>
          </w:p>
        </w:tc>
      </w:tr>
      <w:tr w:rsidR="00956F2B" w:rsidRPr="00B7259E" w14:paraId="40563AA0" w14:textId="77777777" w:rsidTr="009D7048">
        <w:tblPrEx>
          <w:tblCellMar>
            <w:top w:w="0" w:type="dxa"/>
            <w:bottom w:w="0" w:type="dxa"/>
          </w:tblCellMar>
        </w:tblPrEx>
        <w:trPr>
          <w:trHeight w:val="254"/>
        </w:trPr>
        <w:tc>
          <w:tcPr>
            <w:tcW w:w="515" w:type="dxa"/>
            <w:gridSpan w:val="2"/>
            <w:tcBorders>
              <w:top w:val="single" w:sz="6" w:space="0" w:color="auto"/>
              <w:left w:val="single" w:sz="6" w:space="0" w:color="auto"/>
              <w:bottom w:val="single" w:sz="6" w:space="0" w:color="auto"/>
              <w:right w:val="single" w:sz="6" w:space="0" w:color="auto"/>
            </w:tcBorders>
          </w:tcPr>
          <w:p w14:paraId="723CCA56"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lastRenderedPageBreak/>
              <w:t>19.</w:t>
            </w:r>
          </w:p>
        </w:tc>
        <w:tc>
          <w:tcPr>
            <w:tcW w:w="2290" w:type="dxa"/>
            <w:tcBorders>
              <w:top w:val="single" w:sz="6" w:space="0" w:color="auto"/>
              <w:left w:val="nil"/>
              <w:bottom w:val="single" w:sz="6" w:space="0" w:color="auto"/>
              <w:right w:val="single" w:sz="6" w:space="0" w:color="auto"/>
            </w:tcBorders>
          </w:tcPr>
          <w:p w14:paraId="212B4B5E"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Prava deponenta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14F70E06" w14:textId="77777777" w:rsidR="00956F2B" w:rsidRPr="00956F2B" w:rsidRDefault="00956F2B" w:rsidP="00956F2B">
            <w:pPr>
              <w:spacing w:after="0"/>
              <w:jc w:val="both"/>
              <w:rPr>
                <w:rFonts w:ascii="Arial" w:hAnsi="Arial" w:cs="Arial"/>
                <w:sz w:val="16"/>
                <w:szCs w:val="16"/>
              </w:rPr>
            </w:pPr>
            <w:r w:rsidRPr="00956F2B">
              <w:rPr>
                <w:rFonts w:ascii="Arial" w:hAnsi="Arial" w:cs="Arial"/>
                <w:kern w:val="1"/>
                <w:sz w:val="16"/>
                <w:szCs w:val="16"/>
                <w:lang w:val="hr-BA" w:eastAsia="sr-Latn-CS"/>
              </w:rPr>
              <w:t xml:space="preserve">Deponent ma pravo da Banci podnese usmenu reklamaciju ako smatra da se </w:t>
            </w:r>
            <w:r w:rsidRPr="00956F2B">
              <w:rPr>
                <w:rFonts w:ascii="Arial" w:hAnsi="Arial" w:cs="Arial"/>
                <w:sz w:val="16"/>
                <w:szCs w:val="16"/>
                <w:lang w:val="hr-BA"/>
              </w:rPr>
              <w:t>Banka ne pridržava odredaba zakona, podzakonskih propisa kojima se uređuje rad i poslovanje Banke, ugovora, općih</w:t>
            </w:r>
            <w:r w:rsidRPr="00956F2B">
              <w:rPr>
                <w:rStyle w:val="cf01"/>
                <w:rFonts w:ascii="Arial" w:hAnsi="Arial" w:cs="Arial"/>
                <w:sz w:val="16"/>
                <w:szCs w:val="16"/>
                <w:lang w:val="hr-BA"/>
              </w:rPr>
              <w:t xml:space="preserve"> uslova poslovanja, dobre poslovne prakse i dobrih poslovnih običaja, Deponent ima pravo podnijeti usmeni prigovor, pisani prigovor Banci na adresu: NLB Banka d.d., Sarajevo, Koševo br. 3, Sarajevo. </w:t>
            </w:r>
            <w:r w:rsidRPr="00956F2B">
              <w:rPr>
                <w:rFonts w:ascii="Arial" w:hAnsi="Arial" w:cs="Arial"/>
                <w:sz w:val="16"/>
                <w:szCs w:val="16"/>
                <w:lang w:val="hr-BA"/>
              </w:rPr>
              <w:t xml:space="preserve">Ukoliko Deponent uputi usmeni prigovor, a nije zadovoljan odgovorom Banke, </w:t>
            </w:r>
            <w:r w:rsidRPr="00956F2B">
              <w:rPr>
                <w:rStyle w:val="cf01"/>
                <w:rFonts w:ascii="Arial" w:hAnsi="Arial" w:cs="Arial"/>
                <w:sz w:val="16"/>
                <w:szCs w:val="16"/>
                <w:lang w:val="hr-BA"/>
              </w:rPr>
              <w:t xml:space="preserve">Banka ga je dužna uputiti o pravu na podnošenje prigovora u pisanoj ili elektronskoj  formi. Banka je dužna dostaviti odgovor podnosiocu prigovora u roku od 8 dana,  a najkasnije u roku od 30 dana, i to od dana podnošenja pisanog prigovora ili prigovora podnesenog u elektronskoj formi, u istoj formi u kojoj je Deponent podnio prigovor. U slučaju da Banka ne dostavi odgovor na prigovor ili podnosioc prigovora nije zadovoljan sa istim, ima pravo u pisanoj formi, u roku od 3 mjeseca od dana dobijanja odgovora odnosno isticanja roka za odgovor, obavijestiti Agenciju za bankarstvo F BiH na adresu Zmaja od Bosne br. 47b Sarajevo (u daljem tesktu: Agencija) da je nezadovoljan ishodom postupka po prigovoru, koji je provela Banka. </w:t>
            </w:r>
            <w:r w:rsidRPr="00956F2B">
              <w:rPr>
                <w:rStyle w:val="cf01"/>
                <w:rFonts w:ascii="Arial" w:hAnsi="Arial" w:cs="Arial"/>
                <w:sz w:val="16"/>
                <w:szCs w:val="16"/>
              </w:rPr>
              <w:t>Banka ne može podnosicu prigovora naplatiti naknadu niti bilo koje druge troškove za podnošenje i postupanje po prigovoru.</w:t>
            </w:r>
            <w:bookmarkStart w:id="6" w:name="_Hlk209190171"/>
            <w:r w:rsidRPr="00956F2B">
              <w:rPr>
                <w:rStyle w:val="cf01"/>
                <w:rFonts w:ascii="Arial" w:hAnsi="Arial" w:cs="Arial"/>
                <w:sz w:val="16"/>
                <w:szCs w:val="16"/>
              </w:rPr>
              <w:t xml:space="preserve"> </w:t>
            </w:r>
            <w:r w:rsidRPr="00956F2B">
              <w:rPr>
                <w:rFonts w:ascii="Arial" w:hAnsi="Arial" w:cs="Arial"/>
                <w:sz w:val="16"/>
                <w:szCs w:val="16"/>
              </w:rPr>
              <w:t>Ukoliko se nastali spor ne bi mogao riješiti na naprijed navedeni način, podnosilac prigovora ima pravo na sudsku zaštitu. Podnosilac prigovora ima mogućnost pokrenuti postupak posredovanja u svrhu vansudskog rješavanja spornog odnosa.</w:t>
            </w:r>
          </w:p>
          <w:bookmarkEnd w:id="6"/>
          <w:p w14:paraId="64E1AA7C" w14:textId="77777777" w:rsidR="00956F2B" w:rsidRPr="00956F2B" w:rsidRDefault="00956F2B" w:rsidP="00956F2B">
            <w:pPr>
              <w:widowControl w:val="0"/>
              <w:autoSpaceDE w:val="0"/>
              <w:autoSpaceDN w:val="0"/>
              <w:adjustRightInd w:val="0"/>
              <w:spacing w:after="0"/>
              <w:jc w:val="both"/>
              <w:rPr>
                <w:rFonts w:ascii="Arial" w:hAnsi="Arial" w:cs="Arial"/>
                <w:color w:val="FF0000"/>
                <w:sz w:val="16"/>
                <w:szCs w:val="16"/>
                <w:lang w:val="hr-BA"/>
              </w:rPr>
            </w:pPr>
            <w:r w:rsidRPr="00956F2B">
              <w:rPr>
                <w:rFonts w:ascii="Arial" w:hAnsi="Arial" w:cs="Arial"/>
                <w:sz w:val="16"/>
                <w:szCs w:val="16"/>
                <w:lang w:val="hr-BA"/>
              </w:rPr>
              <w:t>U nemogućnosti mirnog rješenja spora Deponent i/ili Banka mogu tražiti rješenje sudskim putem uz nadležnost suda u Sarajevu.</w:t>
            </w:r>
          </w:p>
        </w:tc>
      </w:tr>
      <w:tr w:rsidR="00956F2B" w:rsidRPr="00B7259E" w14:paraId="5A45E4FE" w14:textId="77777777" w:rsidTr="009D7048">
        <w:tblPrEx>
          <w:tblCellMar>
            <w:top w:w="0" w:type="dxa"/>
            <w:bottom w:w="0" w:type="dxa"/>
          </w:tblCellMar>
        </w:tblPrEx>
        <w:trPr>
          <w:trHeight w:val="65"/>
        </w:trPr>
        <w:tc>
          <w:tcPr>
            <w:tcW w:w="515" w:type="dxa"/>
            <w:gridSpan w:val="2"/>
            <w:tcBorders>
              <w:top w:val="single" w:sz="6" w:space="0" w:color="auto"/>
              <w:left w:val="single" w:sz="6" w:space="0" w:color="auto"/>
              <w:bottom w:val="single" w:sz="6" w:space="0" w:color="auto"/>
              <w:right w:val="single" w:sz="6" w:space="0" w:color="auto"/>
            </w:tcBorders>
          </w:tcPr>
          <w:p w14:paraId="4713F553"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20.</w:t>
            </w:r>
          </w:p>
        </w:tc>
        <w:tc>
          <w:tcPr>
            <w:tcW w:w="2290" w:type="dxa"/>
            <w:tcBorders>
              <w:top w:val="single" w:sz="6" w:space="0" w:color="auto"/>
              <w:left w:val="nil"/>
              <w:bottom w:val="single" w:sz="6" w:space="0" w:color="auto"/>
              <w:right w:val="single" w:sz="6" w:space="0" w:color="auto"/>
            </w:tcBorders>
          </w:tcPr>
          <w:p w14:paraId="63B74BE3"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 xml:space="preserve">Informisanje </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09E74266" w14:textId="77777777" w:rsidR="00956F2B" w:rsidRPr="00956F2B" w:rsidRDefault="00956F2B" w:rsidP="00956F2B">
            <w:pPr>
              <w:pStyle w:val="NoSpacing"/>
              <w:spacing w:line="276" w:lineRule="auto"/>
              <w:jc w:val="both"/>
              <w:rPr>
                <w:rFonts w:ascii="Arial" w:hAnsi="Arial" w:cs="Arial"/>
                <w:sz w:val="16"/>
                <w:szCs w:val="16"/>
                <w:lang w:val="hr-BA"/>
              </w:rPr>
            </w:pPr>
            <w:r w:rsidRPr="00956F2B">
              <w:rPr>
                <w:rFonts w:ascii="Arial" w:hAnsi="Arial" w:cs="Arial"/>
                <w:sz w:val="16"/>
                <w:szCs w:val="16"/>
                <w:lang w:val="hr-BA"/>
              </w:rPr>
              <w:t>Uslovi iz Informacionog lista važe do njihove izmjene, koja se objavljuje najkasnije 15 dana prije njihove primjene. Obavještenja i zahtjevi, koji su u vezi sa ugovornim odredbama, između Banke i Depoenenta vršit će se u pisanoj formi putem e-mail adrese ili putem elektronskih servisa Banke. U slučaju da Deponent ne koristi e-mail ili elektronske servise, sve informacije u vezi ugovornog odnosa može dobiti i u prostorijama Banke. Banka ne snosi odgovornost u slučaju da Klijent ne dobije obavještenje elektronskim putem, zbog smetnji u telekomunikacionim kanalima ili zbog drugih okolnosti, na koje Banka ne može uticati, pri čemu, u takvim okolnostima Deponent može preuzeti obavještenje u prostorijama Banke.</w:t>
            </w:r>
          </w:p>
          <w:p w14:paraId="07EAEAFF" w14:textId="77777777" w:rsidR="00956F2B" w:rsidRPr="00956F2B" w:rsidRDefault="00956F2B" w:rsidP="00956F2B">
            <w:pPr>
              <w:pStyle w:val="NoSpacing"/>
              <w:spacing w:line="276" w:lineRule="auto"/>
              <w:jc w:val="both"/>
              <w:rPr>
                <w:rFonts w:ascii="Arial" w:hAnsi="Arial" w:cs="Arial"/>
                <w:sz w:val="16"/>
                <w:szCs w:val="16"/>
                <w:lang w:val="hr-BA"/>
              </w:rPr>
            </w:pPr>
            <w:r w:rsidRPr="00956F2B">
              <w:rPr>
                <w:rFonts w:ascii="Arial" w:hAnsi="Arial" w:cs="Arial"/>
                <w:sz w:val="16"/>
                <w:szCs w:val="16"/>
                <w:lang w:val="hr-BA" w:eastAsia="sr-Latn-CS"/>
              </w:rPr>
              <w:t>Uslovi iz Informacinog lista vrijede do njihove promjene koja će biti objavljena na Internet stranici i prostorijama Banke 15 dana prije primjene.</w:t>
            </w:r>
          </w:p>
        </w:tc>
      </w:tr>
      <w:tr w:rsidR="00956F2B" w:rsidRPr="00B7259E" w14:paraId="49D9D152" w14:textId="77777777" w:rsidTr="009D7048">
        <w:tblPrEx>
          <w:tblCellMar>
            <w:top w:w="0" w:type="dxa"/>
            <w:bottom w:w="0" w:type="dxa"/>
          </w:tblCellMar>
        </w:tblPrEx>
        <w:trPr>
          <w:trHeight w:val="65"/>
        </w:trPr>
        <w:tc>
          <w:tcPr>
            <w:tcW w:w="515" w:type="dxa"/>
            <w:gridSpan w:val="2"/>
            <w:tcBorders>
              <w:top w:val="single" w:sz="6" w:space="0" w:color="auto"/>
              <w:left w:val="single" w:sz="6" w:space="0" w:color="auto"/>
              <w:bottom w:val="single" w:sz="6" w:space="0" w:color="auto"/>
              <w:right w:val="single" w:sz="6" w:space="0" w:color="auto"/>
            </w:tcBorders>
          </w:tcPr>
          <w:p w14:paraId="466ED27E"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21.</w:t>
            </w:r>
          </w:p>
        </w:tc>
        <w:tc>
          <w:tcPr>
            <w:tcW w:w="2290" w:type="dxa"/>
            <w:tcBorders>
              <w:top w:val="single" w:sz="6" w:space="0" w:color="auto"/>
              <w:left w:val="nil"/>
              <w:bottom w:val="single" w:sz="6" w:space="0" w:color="auto"/>
              <w:right w:val="single" w:sz="6" w:space="0" w:color="auto"/>
            </w:tcBorders>
          </w:tcPr>
          <w:p w14:paraId="248E0D08"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Pravo na Nacrt Ugovora</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7896BCE7" w14:textId="77777777" w:rsidR="00956F2B" w:rsidRPr="00956F2B" w:rsidRDefault="00956F2B" w:rsidP="00956F2B">
            <w:pPr>
              <w:pStyle w:val="NoSpacing"/>
              <w:spacing w:line="276" w:lineRule="auto"/>
              <w:jc w:val="both"/>
              <w:rPr>
                <w:rFonts w:ascii="Arial" w:hAnsi="Arial" w:cs="Arial"/>
                <w:sz w:val="16"/>
                <w:szCs w:val="16"/>
                <w:lang w:val="hr-BA"/>
              </w:rPr>
            </w:pPr>
            <w:r w:rsidRPr="00956F2B">
              <w:rPr>
                <w:rFonts w:ascii="Arial" w:hAnsi="Arial" w:cs="Arial"/>
                <w:sz w:val="16"/>
                <w:szCs w:val="16"/>
                <w:lang w:val="hr-BA"/>
              </w:rPr>
              <w:t>Deponent ima pravo da na zahtjev dobije besplatan nacrt Ugovora, radi upoznavanja sa odredbama istog, izuzev ako Banka u vrijeme podnošenja zahtjeva ocijeni da ne postoje uslovi za zasnivanje ugovornog odnosa sa Depoenentom. Depoenent ima pravo da u roku od 15 dana od dana uručenja Nacrta Ugovora prihvati ugovorne odredbe i zaključi Ugovor, u suprotnom će se smatrati da je odustao od zaključenja Ugovora.</w:t>
            </w:r>
          </w:p>
        </w:tc>
      </w:tr>
      <w:tr w:rsidR="00956F2B" w:rsidRPr="00B7259E" w14:paraId="41D873DE" w14:textId="77777777" w:rsidTr="009D7048">
        <w:tblPrEx>
          <w:tblCellMar>
            <w:top w:w="0" w:type="dxa"/>
            <w:bottom w:w="0" w:type="dxa"/>
          </w:tblCellMar>
        </w:tblPrEx>
        <w:trPr>
          <w:trHeight w:val="389"/>
        </w:trPr>
        <w:tc>
          <w:tcPr>
            <w:tcW w:w="515" w:type="dxa"/>
            <w:gridSpan w:val="2"/>
            <w:tcBorders>
              <w:top w:val="single" w:sz="6" w:space="0" w:color="auto"/>
              <w:left w:val="single" w:sz="6" w:space="0" w:color="auto"/>
              <w:bottom w:val="single" w:sz="6" w:space="0" w:color="auto"/>
              <w:right w:val="single" w:sz="6" w:space="0" w:color="auto"/>
            </w:tcBorders>
          </w:tcPr>
          <w:p w14:paraId="444003BE" w14:textId="77777777" w:rsidR="00956F2B" w:rsidRPr="00B7259E" w:rsidRDefault="00956F2B" w:rsidP="00956F2B">
            <w:pPr>
              <w:autoSpaceDE w:val="0"/>
              <w:autoSpaceDN w:val="0"/>
              <w:adjustRightInd w:val="0"/>
              <w:spacing w:after="0"/>
              <w:rPr>
                <w:rFonts w:ascii="Arial" w:hAnsi="Arial" w:cs="Arial"/>
                <w:sz w:val="16"/>
                <w:szCs w:val="16"/>
                <w:lang w:val="hr-BA"/>
              </w:rPr>
            </w:pPr>
            <w:r w:rsidRPr="00B7259E">
              <w:rPr>
                <w:rFonts w:ascii="Arial" w:hAnsi="Arial" w:cs="Arial"/>
                <w:sz w:val="16"/>
                <w:szCs w:val="16"/>
                <w:lang w:val="hr-BA"/>
              </w:rPr>
              <w:t>22.</w:t>
            </w:r>
          </w:p>
        </w:tc>
        <w:tc>
          <w:tcPr>
            <w:tcW w:w="2290" w:type="dxa"/>
            <w:tcBorders>
              <w:top w:val="single" w:sz="6" w:space="0" w:color="auto"/>
              <w:left w:val="nil"/>
              <w:bottom w:val="single" w:sz="6" w:space="0" w:color="auto"/>
              <w:right w:val="single" w:sz="6" w:space="0" w:color="auto"/>
            </w:tcBorders>
          </w:tcPr>
          <w:p w14:paraId="66DC5867" w14:textId="77777777" w:rsidR="00956F2B" w:rsidRPr="00956F2B" w:rsidRDefault="00956F2B" w:rsidP="00956F2B">
            <w:pPr>
              <w:autoSpaceDE w:val="0"/>
              <w:autoSpaceDN w:val="0"/>
              <w:adjustRightInd w:val="0"/>
              <w:spacing w:after="0"/>
              <w:rPr>
                <w:rFonts w:ascii="Arial" w:hAnsi="Arial" w:cs="Arial"/>
                <w:sz w:val="16"/>
                <w:szCs w:val="16"/>
                <w:lang w:val="hr-BA"/>
              </w:rPr>
            </w:pPr>
            <w:r w:rsidRPr="00956F2B">
              <w:rPr>
                <w:rFonts w:ascii="Arial" w:hAnsi="Arial" w:cs="Arial"/>
                <w:sz w:val="16"/>
                <w:szCs w:val="16"/>
                <w:lang w:val="hr-BA"/>
              </w:rPr>
              <w:t>Period u kojem Banku obavezuju podaci dati u pregovaračkoj fazi</w:t>
            </w:r>
          </w:p>
        </w:tc>
        <w:tc>
          <w:tcPr>
            <w:tcW w:w="8097" w:type="dxa"/>
            <w:gridSpan w:val="2"/>
            <w:tcBorders>
              <w:top w:val="single" w:sz="6" w:space="0" w:color="auto"/>
              <w:left w:val="single" w:sz="6" w:space="0" w:color="auto"/>
              <w:bottom w:val="single" w:sz="6" w:space="0" w:color="auto"/>
              <w:right w:val="single" w:sz="6" w:space="0" w:color="auto"/>
            </w:tcBorders>
            <w:shd w:val="clear" w:color="auto" w:fill="FFFFFF"/>
          </w:tcPr>
          <w:p w14:paraId="2E385317" w14:textId="77777777" w:rsidR="00956F2B" w:rsidRPr="00956F2B" w:rsidRDefault="00956F2B" w:rsidP="00956F2B">
            <w:pPr>
              <w:autoSpaceDE w:val="0"/>
              <w:autoSpaceDN w:val="0"/>
              <w:adjustRightInd w:val="0"/>
              <w:spacing w:after="0"/>
              <w:jc w:val="both"/>
              <w:rPr>
                <w:rFonts w:ascii="Arial" w:hAnsi="Arial" w:cs="Arial"/>
                <w:sz w:val="16"/>
                <w:szCs w:val="16"/>
                <w:lang w:val="hr-BA"/>
              </w:rPr>
            </w:pPr>
            <w:r w:rsidRPr="00956F2B">
              <w:rPr>
                <w:rFonts w:ascii="Arial" w:hAnsi="Arial" w:cs="Arial"/>
                <w:sz w:val="16"/>
                <w:szCs w:val="16"/>
                <w:lang w:val="hr-BA"/>
              </w:rPr>
              <w:t>Ponuda koja je data Deponentu u pregovaračkoj fazi, obavezuje Banku u periodu od 15 dana od dana uručivanja iste.</w:t>
            </w:r>
          </w:p>
        </w:tc>
      </w:tr>
      <w:tr w:rsidR="00040C84" w:rsidRPr="00B7259E" w14:paraId="214B5D67" w14:textId="77777777" w:rsidTr="009D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gridAfter w:val="1"/>
          <w:wAfter w:w="5936" w:type="dxa"/>
          <w:trHeight w:val="65"/>
        </w:trPr>
        <w:tc>
          <w:tcPr>
            <w:tcW w:w="284" w:type="dxa"/>
            <w:tcBorders>
              <w:left w:val="nil"/>
              <w:right w:val="nil"/>
            </w:tcBorders>
          </w:tcPr>
          <w:p w14:paraId="27E1F5AC" w14:textId="77777777" w:rsidR="00040C84" w:rsidRPr="00B7259E" w:rsidRDefault="00040C84" w:rsidP="00B7259E">
            <w:pPr>
              <w:pStyle w:val="NoSpacing"/>
              <w:spacing w:line="276" w:lineRule="auto"/>
              <w:rPr>
                <w:rFonts w:ascii="Arial" w:hAnsi="Arial" w:cs="Arial"/>
                <w:color w:val="FF0000"/>
                <w:sz w:val="16"/>
                <w:szCs w:val="16"/>
                <w:lang w:val="hr-BA" w:eastAsia="sr-Latn-CS"/>
              </w:rPr>
            </w:pPr>
          </w:p>
        </w:tc>
        <w:tc>
          <w:tcPr>
            <w:tcW w:w="4682" w:type="dxa"/>
            <w:gridSpan w:val="3"/>
            <w:tcBorders>
              <w:top w:val="nil"/>
              <w:left w:val="nil"/>
              <w:bottom w:val="nil"/>
              <w:right w:val="nil"/>
            </w:tcBorders>
            <w:vAlign w:val="center"/>
          </w:tcPr>
          <w:p w14:paraId="229AA226" w14:textId="77777777" w:rsidR="00040C84" w:rsidRPr="00B7259E" w:rsidRDefault="00040C84" w:rsidP="00B7259E">
            <w:pPr>
              <w:pStyle w:val="NoSpacing"/>
              <w:spacing w:line="276" w:lineRule="auto"/>
              <w:rPr>
                <w:rFonts w:ascii="Arial" w:hAnsi="Arial" w:cs="Arial"/>
                <w:sz w:val="16"/>
                <w:szCs w:val="16"/>
                <w:lang w:val="hr-BA" w:eastAsia="sr-Latn-CS"/>
              </w:rPr>
            </w:pPr>
          </w:p>
        </w:tc>
      </w:tr>
      <w:tr w:rsidR="004121B9" w:rsidRPr="00B7259E" w14:paraId="7C43A984" w14:textId="77777777" w:rsidTr="009D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gridAfter w:val="1"/>
          <w:wAfter w:w="5936" w:type="dxa"/>
          <w:trHeight w:val="227"/>
        </w:trPr>
        <w:tc>
          <w:tcPr>
            <w:tcW w:w="284" w:type="dxa"/>
          </w:tcPr>
          <w:p w14:paraId="634B0AD6" w14:textId="77777777" w:rsidR="004121B9" w:rsidRPr="00B7259E" w:rsidRDefault="004121B9" w:rsidP="00B7259E">
            <w:pPr>
              <w:pStyle w:val="NoSpacing"/>
              <w:spacing w:line="276" w:lineRule="auto"/>
              <w:rPr>
                <w:rFonts w:ascii="Arial" w:hAnsi="Arial" w:cs="Arial"/>
                <w:color w:val="FF0000"/>
                <w:sz w:val="16"/>
                <w:szCs w:val="16"/>
                <w:lang w:val="hr-BA" w:eastAsia="sr-Latn-CS"/>
              </w:rPr>
            </w:pPr>
          </w:p>
        </w:tc>
        <w:tc>
          <w:tcPr>
            <w:tcW w:w="4682" w:type="dxa"/>
            <w:gridSpan w:val="3"/>
            <w:tcBorders>
              <w:top w:val="nil"/>
              <w:bottom w:val="nil"/>
              <w:right w:val="nil"/>
            </w:tcBorders>
            <w:vAlign w:val="center"/>
          </w:tcPr>
          <w:p w14:paraId="50EBAC73" w14:textId="77777777" w:rsidR="004121B9" w:rsidRPr="00B7259E" w:rsidRDefault="004121B9" w:rsidP="00B7259E">
            <w:pPr>
              <w:pStyle w:val="NoSpacing"/>
              <w:spacing w:line="276" w:lineRule="auto"/>
              <w:rPr>
                <w:rFonts w:ascii="Arial" w:hAnsi="Arial" w:cs="Arial"/>
                <w:sz w:val="16"/>
                <w:szCs w:val="16"/>
                <w:lang w:val="hr-BA" w:eastAsia="sr-Latn-CS"/>
              </w:rPr>
            </w:pPr>
            <w:r w:rsidRPr="00B7259E">
              <w:rPr>
                <w:rFonts w:ascii="Arial" w:hAnsi="Arial" w:cs="Arial"/>
                <w:sz w:val="16"/>
                <w:szCs w:val="16"/>
                <w:lang w:val="hr-BA" w:eastAsia="sr-Latn-CS"/>
              </w:rPr>
              <w:t>Klijent ne zahtjeva Nacrt Ugovora</w:t>
            </w:r>
          </w:p>
        </w:tc>
      </w:tr>
      <w:tr w:rsidR="004121B9" w:rsidRPr="00B7259E" w14:paraId="1697543E" w14:textId="77777777" w:rsidTr="009D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gridAfter w:val="1"/>
          <w:wAfter w:w="5936" w:type="dxa"/>
          <w:trHeight w:val="64"/>
        </w:trPr>
        <w:tc>
          <w:tcPr>
            <w:tcW w:w="284" w:type="dxa"/>
            <w:tcBorders>
              <w:left w:val="nil"/>
              <w:right w:val="nil"/>
            </w:tcBorders>
          </w:tcPr>
          <w:p w14:paraId="4ACB22D1" w14:textId="77777777" w:rsidR="004121B9" w:rsidRPr="00B7259E" w:rsidRDefault="004121B9" w:rsidP="00B7259E">
            <w:pPr>
              <w:pStyle w:val="NoSpacing"/>
              <w:spacing w:line="276" w:lineRule="auto"/>
              <w:rPr>
                <w:rFonts w:ascii="Arial" w:hAnsi="Arial" w:cs="Arial"/>
                <w:color w:val="FF0000"/>
                <w:sz w:val="16"/>
                <w:szCs w:val="16"/>
                <w:lang w:val="hr-BA" w:eastAsia="sr-Latn-CS"/>
              </w:rPr>
            </w:pPr>
          </w:p>
        </w:tc>
        <w:tc>
          <w:tcPr>
            <w:tcW w:w="4682" w:type="dxa"/>
            <w:gridSpan w:val="3"/>
            <w:tcBorders>
              <w:top w:val="nil"/>
              <w:left w:val="nil"/>
              <w:bottom w:val="nil"/>
              <w:right w:val="nil"/>
            </w:tcBorders>
            <w:vAlign w:val="center"/>
          </w:tcPr>
          <w:p w14:paraId="6E037B1F" w14:textId="77777777" w:rsidR="004121B9" w:rsidRPr="00B7259E" w:rsidRDefault="004121B9" w:rsidP="00B7259E">
            <w:pPr>
              <w:pStyle w:val="NoSpacing"/>
              <w:spacing w:line="276" w:lineRule="auto"/>
              <w:rPr>
                <w:rFonts w:ascii="Arial" w:hAnsi="Arial" w:cs="Arial"/>
                <w:sz w:val="16"/>
                <w:szCs w:val="16"/>
                <w:lang w:val="hr-BA" w:eastAsia="sr-Latn-CS"/>
              </w:rPr>
            </w:pPr>
          </w:p>
        </w:tc>
      </w:tr>
      <w:tr w:rsidR="004121B9" w:rsidRPr="00B7259E" w14:paraId="294EE951" w14:textId="77777777" w:rsidTr="009D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gridAfter w:val="1"/>
          <w:wAfter w:w="5936" w:type="dxa"/>
          <w:trHeight w:val="227"/>
        </w:trPr>
        <w:tc>
          <w:tcPr>
            <w:tcW w:w="284" w:type="dxa"/>
          </w:tcPr>
          <w:p w14:paraId="46878B4A" w14:textId="77777777" w:rsidR="004121B9" w:rsidRPr="00B7259E" w:rsidRDefault="004121B9" w:rsidP="00B7259E">
            <w:pPr>
              <w:pStyle w:val="NoSpacing"/>
              <w:spacing w:line="276" w:lineRule="auto"/>
              <w:rPr>
                <w:rFonts w:ascii="Arial" w:hAnsi="Arial" w:cs="Arial"/>
                <w:color w:val="FF0000"/>
                <w:sz w:val="16"/>
                <w:szCs w:val="16"/>
                <w:lang w:val="hr-BA" w:eastAsia="sr-Latn-CS"/>
              </w:rPr>
            </w:pPr>
          </w:p>
        </w:tc>
        <w:tc>
          <w:tcPr>
            <w:tcW w:w="4682" w:type="dxa"/>
            <w:gridSpan w:val="3"/>
            <w:tcBorders>
              <w:top w:val="nil"/>
              <w:bottom w:val="nil"/>
              <w:right w:val="nil"/>
            </w:tcBorders>
            <w:vAlign w:val="center"/>
          </w:tcPr>
          <w:p w14:paraId="58F77BA2" w14:textId="77777777" w:rsidR="004121B9" w:rsidRPr="00B7259E" w:rsidRDefault="004121B9" w:rsidP="00B7259E">
            <w:pPr>
              <w:pStyle w:val="NoSpacing"/>
              <w:spacing w:line="276" w:lineRule="auto"/>
              <w:rPr>
                <w:rFonts w:ascii="Arial" w:hAnsi="Arial" w:cs="Arial"/>
                <w:sz w:val="16"/>
                <w:szCs w:val="16"/>
                <w:lang w:val="hr-BA" w:eastAsia="sr-Latn-CS"/>
              </w:rPr>
            </w:pPr>
            <w:r w:rsidRPr="00B7259E">
              <w:rPr>
                <w:rFonts w:ascii="Arial" w:hAnsi="Arial" w:cs="Arial"/>
                <w:sz w:val="16"/>
                <w:szCs w:val="16"/>
                <w:lang w:val="hr-BA"/>
              </w:rPr>
              <w:t>Klijent zahtijeva Nacrt Ugovora i potvrđuje da mu je isti uručen</w:t>
            </w:r>
          </w:p>
        </w:tc>
      </w:tr>
    </w:tbl>
    <w:p w14:paraId="53599EBE" w14:textId="77777777" w:rsidR="00F65D0B" w:rsidRPr="00B7259E" w:rsidRDefault="00F65D0B" w:rsidP="00B7259E">
      <w:pPr>
        <w:widowControl w:val="0"/>
        <w:autoSpaceDE w:val="0"/>
        <w:autoSpaceDN w:val="0"/>
        <w:adjustRightInd w:val="0"/>
        <w:rPr>
          <w:rFonts w:ascii="Arial" w:hAnsi="Arial" w:cs="Arial"/>
          <w:sz w:val="16"/>
          <w:szCs w:val="16"/>
          <w:lang w:val="hr-BA"/>
        </w:rPr>
      </w:pPr>
    </w:p>
    <w:sectPr w:rsidR="00F65D0B" w:rsidRPr="00B7259E" w:rsidSect="0034212B">
      <w:headerReference w:type="default" r:id="rId8"/>
      <w:footerReference w:type="default" r:id="rId9"/>
      <w:pgSz w:w="12240" w:h="15840"/>
      <w:pgMar w:top="112" w:right="851" w:bottom="284" w:left="851" w:header="143" w:footer="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7D9E4" w14:textId="77777777" w:rsidR="00656A62" w:rsidRDefault="00656A62" w:rsidP="00AF745D">
      <w:pPr>
        <w:spacing w:after="0" w:line="240" w:lineRule="auto"/>
      </w:pPr>
      <w:r>
        <w:separator/>
      </w:r>
    </w:p>
  </w:endnote>
  <w:endnote w:type="continuationSeparator" w:id="0">
    <w:p w14:paraId="6B377882" w14:textId="77777777" w:rsidR="00656A62" w:rsidRDefault="00656A62" w:rsidP="00AF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637AB" w14:textId="77777777" w:rsidR="00F73DBF" w:rsidRDefault="00F73DBF" w:rsidP="00AE35DA">
    <w:pPr>
      <w:pStyle w:val="Footer"/>
      <w:tabs>
        <w:tab w:val="clear" w:pos="4536"/>
        <w:tab w:val="clear" w:pos="9072"/>
        <w:tab w:val="left" w:pos="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9840E" w14:textId="77777777" w:rsidR="00656A62" w:rsidRDefault="00656A62" w:rsidP="00AF745D">
      <w:pPr>
        <w:spacing w:after="0" w:line="240" w:lineRule="auto"/>
      </w:pPr>
      <w:r>
        <w:separator/>
      </w:r>
    </w:p>
  </w:footnote>
  <w:footnote w:type="continuationSeparator" w:id="0">
    <w:p w14:paraId="6C370933" w14:textId="77777777" w:rsidR="00656A62" w:rsidRDefault="00656A62" w:rsidP="00AF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0D70" w14:textId="11BEBB35" w:rsidR="00F73DBF" w:rsidRDefault="004A6C80" w:rsidP="00501F41">
    <w:pPr>
      <w:pStyle w:val="NoSpacing"/>
      <w:jc w:val="center"/>
      <w:rPr>
        <w:noProof/>
      </w:rPr>
    </w:pPr>
    <w:r w:rsidRPr="000C01D1">
      <w:rPr>
        <w:noProof/>
      </w:rPr>
      <w:drawing>
        <wp:inline distT="0" distB="0" distL="0" distR="0" wp14:anchorId="38A28CB6" wp14:editId="70E4B9F4">
          <wp:extent cx="1645920" cy="485140"/>
          <wp:effectExtent l="0" t="0" r="0" b="0"/>
          <wp:docPr id="2" name="Picture 5" descr="Description: Description: Description: Description: Description: Description: Description: Description: Description: Description: Description: Description: Description: Description: Description: Description: Description: C:\Users\sanjin.s\Desktop\Izmjena Loga\Logo_NLB_Banka\Logo_NLB_Banka\PNG\Logo_NLB_Banka_sponzorski_10m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Description: Description: Description: Description: Description: Description: Description: Description: Description: C:\Users\sanjin.s\Desktop\Izmjena Loga\Logo_NLB_Banka\Logo_NLB_Banka\PNG\Logo_NLB_Banka_sponzorski_10m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85140"/>
                  </a:xfrm>
                  <a:prstGeom prst="rect">
                    <a:avLst/>
                  </a:prstGeom>
                  <a:noFill/>
                  <a:ln>
                    <a:noFill/>
                  </a:ln>
                </pic:spPr>
              </pic:pic>
            </a:graphicData>
          </a:graphic>
        </wp:inline>
      </w:drawing>
    </w:r>
  </w:p>
  <w:p w14:paraId="76F06544" w14:textId="77777777" w:rsidR="00EF23F0" w:rsidRDefault="00EF23F0" w:rsidP="00EF23F0">
    <w:pPr>
      <w:pStyle w:val="NoSpacing"/>
    </w:pPr>
    <w:r w:rsidRPr="00AB290F">
      <w:rPr>
        <w:rFonts w:ascii="Arial" w:hAnsi="Arial" w:cs="Arial"/>
        <w:b/>
        <w:sz w:val="16"/>
        <w:szCs w:val="16"/>
      </w:rPr>
      <w:t xml:space="preserve">Informacioni list za </w:t>
    </w:r>
    <w:r>
      <w:rPr>
        <w:rFonts w:ascii="Arial" w:hAnsi="Arial" w:cs="Arial"/>
        <w:b/>
        <w:sz w:val="16"/>
        <w:szCs w:val="16"/>
      </w:rPr>
      <w:t>oročenu štednju u domaćoj i stranoj valuti</w:t>
    </w:r>
    <w:r w:rsidR="003469EB">
      <w:rPr>
        <w:rFonts w:ascii="Arial" w:hAnsi="Arial" w:cs="Arial"/>
        <w:b/>
        <w:sz w:val="16"/>
        <w:szCs w:val="16"/>
      </w:rPr>
      <w:t xml:space="preserve"> - AKCIJSKA PONUDA</w:t>
    </w:r>
    <w:r>
      <w:rPr>
        <w:rFonts w:ascii="Arial" w:hAnsi="Arial" w:cs="Arial"/>
        <w:b/>
        <w:sz w:val="16"/>
        <w:szCs w:val="16"/>
      </w:rPr>
      <w:t xml:space="preserve">                                       </w:t>
    </w:r>
    <w:r w:rsidR="00D4349B">
      <w:rPr>
        <w:rFonts w:ascii="Arial" w:hAnsi="Arial" w:cs="Arial"/>
        <w:b/>
        <w:sz w:val="16"/>
        <w:szCs w:val="16"/>
      </w:rPr>
      <w:t xml:space="preserve">         </w:t>
    </w:r>
    <w:r>
      <w:rPr>
        <w:rFonts w:ascii="Arial" w:hAnsi="Arial" w:cs="Arial"/>
        <w:b/>
        <w:sz w:val="16"/>
        <w:szCs w:val="16"/>
      </w:rPr>
      <w:t>Važi od</w:t>
    </w:r>
    <w:r w:rsidR="00D4349B">
      <w:rPr>
        <w:rFonts w:ascii="Arial" w:hAnsi="Arial" w:cs="Arial"/>
        <w:b/>
        <w:sz w:val="16"/>
        <w:szCs w:val="16"/>
      </w:rPr>
      <w:t xml:space="preserve"> </w:t>
    </w:r>
    <w:r w:rsidR="00EC215C">
      <w:rPr>
        <w:rFonts w:ascii="Arial" w:hAnsi="Arial" w:cs="Arial"/>
        <w:b/>
        <w:sz w:val="16"/>
        <w:szCs w:val="16"/>
      </w:rPr>
      <w:t>01</w:t>
    </w:r>
    <w:r>
      <w:rPr>
        <w:rFonts w:ascii="Arial" w:hAnsi="Arial" w:cs="Arial"/>
        <w:b/>
        <w:sz w:val="16"/>
        <w:szCs w:val="16"/>
      </w:rPr>
      <w:t>.</w:t>
    </w:r>
    <w:r w:rsidR="006773CD">
      <w:rPr>
        <w:rFonts w:ascii="Arial" w:hAnsi="Arial" w:cs="Arial"/>
        <w:b/>
        <w:sz w:val="16"/>
        <w:szCs w:val="16"/>
      </w:rPr>
      <w:t>10</w:t>
    </w:r>
    <w:r>
      <w:rPr>
        <w:rFonts w:ascii="Arial" w:hAnsi="Arial" w:cs="Arial"/>
        <w:b/>
        <w:sz w:val="16"/>
        <w:szCs w:val="16"/>
      </w:rPr>
      <w:t>.202</w:t>
    </w:r>
    <w:r w:rsidR="00EC215C">
      <w:rPr>
        <w:rFonts w:ascii="Arial" w:hAnsi="Arial" w:cs="Arial"/>
        <w:b/>
        <w:sz w:val="16"/>
        <w:szCs w:val="16"/>
      </w:rPr>
      <w:t>5</w:t>
    </w:r>
    <w:r>
      <w:rPr>
        <w:rFonts w:ascii="Arial" w:hAnsi="Arial" w:cs="Arial"/>
        <w:b/>
        <w:sz w:val="16"/>
        <w:szCs w:val="16"/>
      </w:rPr>
      <w:t xml:space="preserve">.godine      </w:t>
    </w:r>
  </w:p>
  <w:p w14:paraId="7F69CAE6" w14:textId="77777777" w:rsidR="00F73DBF" w:rsidRPr="00BE43FE" w:rsidRDefault="00F73DBF" w:rsidP="00792484">
    <w:pPr>
      <w:pStyle w:val="NoSpacing"/>
      <w:rPr>
        <w:rFonts w:ascii="Arial" w:hAnsi="Arial" w:cs="Arial"/>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6220C6"/>
    <w:multiLevelType w:val="hybridMultilevel"/>
    <w:tmpl w:val="FFFFFFFF"/>
    <w:lvl w:ilvl="0" w:tplc="38EC3C0E">
      <w:numFmt w:val="bullet"/>
      <w:lvlText w:val="-"/>
      <w:lvlJc w:val="left"/>
      <w:pPr>
        <w:tabs>
          <w:tab w:val="num" w:pos="720"/>
        </w:tabs>
        <w:ind w:left="720" w:hanging="360"/>
      </w:pPr>
      <w:rPr>
        <w:rFonts w:ascii="Arial" w:eastAsia="Times New Roman" w:hAnsi="Arial" w:hint="default"/>
      </w:rPr>
    </w:lvl>
    <w:lvl w:ilvl="1" w:tplc="101A0003">
      <w:start w:val="1"/>
      <w:numFmt w:val="bullet"/>
      <w:lvlText w:val="o"/>
      <w:lvlJc w:val="left"/>
      <w:pPr>
        <w:tabs>
          <w:tab w:val="num" w:pos="1440"/>
        </w:tabs>
        <w:ind w:left="1440" w:hanging="360"/>
      </w:pPr>
      <w:rPr>
        <w:rFonts w:ascii="Courier New" w:hAnsi="Courier New" w:hint="default"/>
      </w:rPr>
    </w:lvl>
    <w:lvl w:ilvl="2" w:tplc="101A0005">
      <w:start w:val="1"/>
      <w:numFmt w:val="bullet"/>
      <w:lvlText w:val=""/>
      <w:lvlJc w:val="left"/>
      <w:pPr>
        <w:tabs>
          <w:tab w:val="num" w:pos="2160"/>
        </w:tabs>
        <w:ind w:left="2160" w:hanging="360"/>
      </w:pPr>
      <w:rPr>
        <w:rFonts w:ascii="Wingdings" w:hAnsi="Wingdings" w:hint="default"/>
      </w:rPr>
    </w:lvl>
    <w:lvl w:ilvl="3" w:tplc="101A0001">
      <w:start w:val="1"/>
      <w:numFmt w:val="bullet"/>
      <w:lvlText w:val=""/>
      <w:lvlJc w:val="left"/>
      <w:pPr>
        <w:tabs>
          <w:tab w:val="num" w:pos="2880"/>
        </w:tabs>
        <w:ind w:left="2880" w:hanging="360"/>
      </w:pPr>
      <w:rPr>
        <w:rFonts w:ascii="Symbol" w:hAnsi="Symbol" w:hint="default"/>
      </w:rPr>
    </w:lvl>
    <w:lvl w:ilvl="4" w:tplc="101A0003">
      <w:start w:val="1"/>
      <w:numFmt w:val="bullet"/>
      <w:lvlText w:val="o"/>
      <w:lvlJc w:val="left"/>
      <w:pPr>
        <w:tabs>
          <w:tab w:val="num" w:pos="3600"/>
        </w:tabs>
        <w:ind w:left="3600" w:hanging="360"/>
      </w:pPr>
      <w:rPr>
        <w:rFonts w:ascii="Courier New" w:hAnsi="Courier New" w:hint="default"/>
      </w:rPr>
    </w:lvl>
    <w:lvl w:ilvl="5" w:tplc="101A0005">
      <w:start w:val="1"/>
      <w:numFmt w:val="bullet"/>
      <w:lvlText w:val=""/>
      <w:lvlJc w:val="left"/>
      <w:pPr>
        <w:tabs>
          <w:tab w:val="num" w:pos="4320"/>
        </w:tabs>
        <w:ind w:left="4320" w:hanging="360"/>
      </w:pPr>
      <w:rPr>
        <w:rFonts w:ascii="Wingdings" w:hAnsi="Wingdings" w:hint="default"/>
      </w:rPr>
    </w:lvl>
    <w:lvl w:ilvl="6" w:tplc="101A0001">
      <w:start w:val="1"/>
      <w:numFmt w:val="bullet"/>
      <w:lvlText w:val=""/>
      <w:lvlJc w:val="left"/>
      <w:pPr>
        <w:tabs>
          <w:tab w:val="num" w:pos="5040"/>
        </w:tabs>
        <w:ind w:left="5040" w:hanging="360"/>
      </w:pPr>
      <w:rPr>
        <w:rFonts w:ascii="Symbol" w:hAnsi="Symbol" w:hint="default"/>
      </w:rPr>
    </w:lvl>
    <w:lvl w:ilvl="7" w:tplc="101A0003">
      <w:start w:val="1"/>
      <w:numFmt w:val="bullet"/>
      <w:lvlText w:val="o"/>
      <w:lvlJc w:val="left"/>
      <w:pPr>
        <w:tabs>
          <w:tab w:val="num" w:pos="5760"/>
        </w:tabs>
        <w:ind w:left="5760" w:hanging="360"/>
      </w:pPr>
      <w:rPr>
        <w:rFonts w:ascii="Courier New" w:hAnsi="Courier New" w:hint="default"/>
      </w:rPr>
    </w:lvl>
    <w:lvl w:ilvl="8" w:tplc="10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314C1"/>
    <w:multiLevelType w:val="singleLevel"/>
    <w:tmpl w:val="FFFFFFFF"/>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rPr>
    </w:lvl>
  </w:abstractNum>
  <w:abstractNum w:abstractNumId="3" w15:restartNumberingAfterBreak="0">
    <w:nsid w:val="0CED0481"/>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5C67322"/>
    <w:multiLevelType w:val="hybridMultilevel"/>
    <w:tmpl w:val="FFFFFFFF"/>
    <w:lvl w:ilvl="0" w:tplc="C638D0AA">
      <w:numFmt w:val="bullet"/>
      <w:lvlText w:val="-"/>
      <w:lvlJc w:val="left"/>
      <w:pPr>
        <w:ind w:left="1080" w:hanging="360"/>
      </w:pPr>
      <w:rPr>
        <w:rFonts w:ascii="Arial" w:eastAsia="Times New Roman" w:hAnsi="Arial" w:hint="default"/>
      </w:rPr>
    </w:lvl>
    <w:lvl w:ilvl="1" w:tplc="141A0003">
      <w:start w:val="1"/>
      <w:numFmt w:val="bullet"/>
      <w:lvlText w:val="o"/>
      <w:lvlJc w:val="left"/>
      <w:pPr>
        <w:ind w:left="1800" w:hanging="360"/>
      </w:pPr>
      <w:rPr>
        <w:rFonts w:ascii="Courier New" w:hAnsi="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hint="default"/>
      </w:rPr>
    </w:lvl>
    <w:lvl w:ilvl="8" w:tplc="141A0005">
      <w:start w:val="1"/>
      <w:numFmt w:val="bullet"/>
      <w:lvlText w:val=""/>
      <w:lvlJc w:val="left"/>
      <w:pPr>
        <w:ind w:left="6840" w:hanging="360"/>
      </w:pPr>
      <w:rPr>
        <w:rFonts w:ascii="Wingdings" w:hAnsi="Wingdings" w:hint="default"/>
      </w:rPr>
    </w:lvl>
  </w:abstractNum>
  <w:abstractNum w:abstractNumId="5" w15:restartNumberingAfterBreak="0">
    <w:nsid w:val="180E7B36"/>
    <w:multiLevelType w:val="hybridMultilevel"/>
    <w:tmpl w:val="FFFFFFFF"/>
    <w:lvl w:ilvl="0" w:tplc="D5DA8C00">
      <w:numFmt w:val="bullet"/>
      <w:lvlText w:val="-"/>
      <w:lvlJc w:val="left"/>
      <w:pPr>
        <w:ind w:left="1065" w:hanging="705"/>
      </w:pPr>
      <w:rPr>
        <w:rFonts w:ascii="Arial" w:eastAsia="Times New Roman" w:hAnsi="Arial" w:hint="default"/>
        <w:b/>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D144324"/>
    <w:multiLevelType w:val="hybridMultilevel"/>
    <w:tmpl w:val="FFFFFFFF"/>
    <w:lvl w:ilvl="0" w:tplc="D5DA8C00">
      <w:numFmt w:val="bullet"/>
      <w:lvlText w:val="-"/>
      <w:lvlJc w:val="left"/>
      <w:pPr>
        <w:ind w:left="1065" w:hanging="705"/>
      </w:pPr>
      <w:rPr>
        <w:rFonts w:ascii="Arial" w:eastAsia="Times New Roman" w:hAnsi="Arial" w:hint="default"/>
        <w:b/>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FCC1C60"/>
    <w:multiLevelType w:val="hybridMultilevel"/>
    <w:tmpl w:val="FFFFFFFF"/>
    <w:lvl w:ilvl="0" w:tplc="79FA0C3E">
      <w:numFmt w:val="bullet"/>
      <w:lvlText w:val="-"/>
      <w:lvlJc w:val="left"/>
      <w:pPr>
        <w:ind w:left="720" w:hanging="360"/>
      </w:pPr>
      <w:rPr>
        <w:rFonts w:ascii="Arial" w:eastAsia="Times New Roman" w:hAnsi="Arial" w:hint="default"/>
        <w:b/>
        <w:color w:val="auto"/>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55C6BF8"/>
    <w:multiLevelType w:val="hybridMultilevel"/>
    <w:tmpl w:val="FFFFFFFF"/>
    <w:lvl w:ilvl="0" w:tplc="D5DA8C00">
      <w:numFmt w:val="bullet"/>
      <w:lvlText w:val="-"/>
      <w:lvlJc w:val="left"/>
      <w:pPr>
        <w:ind w:left="1065" w:hanging="705"/>
      </w:pPr>
      <w:rPr>
        <w:rFonts w:ascii="Arial" w:eastAsia="Times New Roman" w:hAnsi="Arial" w:hint="default"/>
        <w:b/>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373105C3"/>
    <w:multiLevelType w:val="hybridMultilevel"/>
    <w:tmpl w:val="FFFFFFFF"/>
    <w:lvl w:ilvl="0" w:tplc="D5DA8C00">
      <w:numFmt w:val="bullet"/>
      <w:lvlText w:val="-"/>
      <w:lvlJc w:val="left"/>
      <w:pPr>
        <w:ind w:left="1065" w:hanging="705"/>
      </w:pPr>
      <w:rPr>
        <w:rFonts w:ascii="Arial" w:eastAsia="Times New Roman" w:hAnsi="Arial" w:hint="default"/>
        <w:b/>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1701F08"/>
    <w:multiLevelType w:val="hybridMultilevel"/>
    <w:tmpl w:val="FFFFFFFF"/>
    <w:lvl w:ilvl="0" w:tplc="433001B4">
      <w:numFmt w:val="bullet"/>
      <w:lvlText w:val="-"/>
      <w:lvlJc w:val="left"/>
      <w:pPr>
        <w:ind w:left="720" w:hanging="360"/>
      </w:pPr>
      <w:rPr>
        <w:rFonts w:ascii="Arial" w:eastAsia="Times New Roman" w:hAnsi="Arial" w:hint="default"/>
        <w:color w:val="auto"/>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8871A29"/>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C5A61B3"/>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4E030B82"/>
    <w:multiLevelType w:val="hybridMultilevel"/>
    <w:tmpl w:val="FFFFFFFF"/>
    <w:lvl w:ilvl="0" w:tplc="1AB2915E">
      <w:numFmt w:val="bullet"/>
      <w:lvlText w:val="-"/>
      <w:lvlJc w:val="left"/>
      <w:pPr>
        <w:ind w:left="-66" w:hanging="360"/>
      </w:pPr>
      <w:rPr>
        <w:rFonts w:ascii="Arial" w:eastAsia="Times New Roman" w:hAnsi="Arial" w:hint="default"/>
      </w:rPr>
    </w:lvl>
    <w:lvl w:ilvl="1" w:tplc="141A0003" w:tentative="1">
      <w:start w:val="1"/>
      <w:numFmt w:val="bullet"/>
      <w:lvlText w:val="o"/>
      <w:lvlJc w:val="left"/>
      <w:pPr>
        <w:ind w:left="654" w:hanging="360"/>
      </w:pPr>
      <w:rPr>
        <w:rFonts w:ascii="Courier New" w:hAnsi="Courier New" w:hint="default"/>
      </w:rPr>
    </w:lvl>
    <w:lvl w:ilvl="2" w:tplc="141A0005" w:tentative="1">
      <w:start w:val="1"/>
      <w:numFmt w:val="bullet"/>
      <w:lvlText w:val=""/>
      <w:lvlJc w:val="left"/>
      <w:pPr>
        <w:ind w:left="1374" w:hanging="360"/>
      </w:pPr>
      <w:rPr>
        <w:rFonts w:ascii="Wingdings" w:hAnsi="Wingdings" w:hint="default"/>
      </w:rPr>
    </w:lvl>
    <w:lvl w:ilvl="3" w:tplc="141A0001" w:tentative="1">
      <w:start w:val="1"/>
      <w:numFmt w:val="bullet"/>
      <w:lvlText w:val=""/>
      <w:lvlJc w:val="left"/>
      <w:pPr>
        <w:ind w:left="2094" w:hanging="360"/>
      </w:pPr>
      <w:rPr>
        <w:rFonts w:ascii="Symbol" w:hAnsi="Symbol" w:hint="default"/>
      </w:rPr>
    </w:lvl>
    <w:lvl w:ilvl="4" w:tplc="141A0003" w:tentative="1">
      <w:start w:val="1"/>
      <w:numFmt w:val="bullet"/>
      <w:lvlText w:val="o"/>
      <w:lvlJc w:val="left"/>
      <w:pPr>
        <w:ind w:left="2814" w:hanging="360"/>
      </w:pPr>
      <w:rPr>
        <w:rFonts w:ascii="Courier New" w:hAnsi="Courier New" w:hint="default"/>
      </w:rPr>
    </w:lvl>
    <w:lvl w:ilvl="5" w:tplc="141A0005" w:tentative="1">
      <w:start w:val="1"/>
      <w:numFmt w:val="bullet"/>
      <w:lvlText w:val=""/>
      <w:lvlJc w:val="left"/>
      <w:pPr>
        <w:ind w:left="3534" w:hanging="360"/>
      </w:pPr>
      <w:rPr>
        <w:rFonts w:ascii="Wingdings" w:hAnsi="Wingdings" w:hint="default"/>
      </w:rPr>
    </w:lvl>
    <w:lvl w:ilvl="6" w:tplc="141A0001" w:tentative="1">
      <w:start w:val="1"/>
      <w:numFmt w:val="bullet"/>
      <w:lvlText w:val=""/>
      <w:lvlJc w:val="left"/>
      <w:pPr>
        <w:ind w:left="4254" w:hanging="360"/>
      </w:pPr>
      <w:rPr>
        <w:rFonts w:ascii="Symbol" w:hAnsi="Symbol" w:hint="default"/>
      </w:rPr>
    </w:lvl>
    <w:lvl w:ilvl="7" w:tplc="141A0003" w:tentative="1">
      <w:start w:val="1"/>
      <w:numFmt w:val="bullet"/>
      <w:lvlText w:val="o"/>
      <w:lvlJc w:val="left"/>
      <w:pPr>
        <w:ind w:left="4974" w:hanging="360"/>
      </w:pPr>
      <w:rPr>
        <w:rFonts w:ascii="Courier New" w:hAnsi="Courier New" w:hint="default"/>
      </w:rPr>
    </w:lvl>
    <w:lvl w:ilvl="8" w:tplc="141A0005" w:tentative="1">
      <w:start w:val="1"/>
      <w:numFmt w:val="bullet"/>
      <w:lvlText w:val=""/>
      <w:lvlJc w:val="left"/>
      <w:pPr>
        <w:ind w:left="5694" w:hanging="360"/>
      </w:pPr>
      <w:rPr>
        <w:rFonts w:ascii="Wingdings" w:hAnsi="Wingdings" w:hint="default"/>
      </w:rPr>
    </w:lvl>
  </w:abstractNum>
  <w:abstractNum w:abstractNumId="15" w15:restartNumberingAfterBreak="0">
    <w:nsid w:val="533B40EE"/>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58AD36C4"/>
    <w:multiLevelType w:val="hybridMultilevel"/>
    <w:tmpl w:val="FFFFFFFF"/>
    <w:lvl w:ilvl="0" w:tplc="F1307CFC">
      <w:numFmt w:val="bullet"/>
      <w:lvlText w:val="-"/>
      <w:lvlJc w:val="left"/>
      <w:pPr>
        <w:ind w:left="153" w:hanging="360"/>
      </w:pPr>
      <w:rPr>
        <w:rFonts w:ascii="Times New Roman" w:eastAsia="Times New Roman" w:hAnsi="Times New Roman" w:hint="default"/>
      </w:rPr>
    </w:lvl>
    <w:lvl w:ilvl="1" w:tplc="141A0003" w:tentative="1">
      <w:start w:val="1"/>
      <w:numFmt w:val="bullet"/>
      <w:lvlText w:val="o"/>
      <w:lvlJc w:val="left"/>
      <w:pPr>
        <w:ind w:left="873" w:hanging="360"/>
      </w:pPr>
      <w:rPr>
        <w:rFonts w:ascii="Courier New" w:hAnsi="Courier New" w:hint="default"/>
      </w:rPr>
    </w:lvl>
    <w:lvl w:ilvl="2" w:tplc="141A0005" w:tentative="1">
      <w:start w:val="1"/>
      <w:numFmt w:val="bullet"/>
      <w:lvlText w:val=""/>
      <w:lvlJc w:val="left"/>
      <w:pPr>
        <w:ind w:left="1593" w:hanging="360"/>
      </w:pPr>
      <w:rPr>
        <w:rFonts w:ascii="Wingdings" w:hAnsi="Wingdings" w:hint="default"/>
      </w:rPr>
    </w:lvl>
    <w:lvl w:ilvl="3" w:tplc="141A0001" w:tentative="1">
      <w:start w:val="1"/>
      <w:numFmt w:val="bullet"/>
      <w:lvlText w:val=""/>
      <w:lvlJc w:val="left"/>
      <w:pPr>
        <w:ind w:left="2313" w:hanging="360"/>
      </w:pPr>
      <w:rPr>
        <w:rFonts w:ascii="Symbol" w:hAnsi="Symbol" w:hint="default"/>
      </w:rPr>
    </w:lvl>
    <w:lvl w:ilvl="4" w:tplc="141A0003" w:tentative="1">
      <w:start w:val="1"/>
      <w:numFmt w:val="bullet"/>
      <w:lvlText w:val="o"/>
      <w:lvlJc w:val="left"/>
      <w:pPr>
        <w:ind w:left="3033" w:hanging="360"/>
      </w:pPr>
      <w:rPr>
        <w:rFonts w:ascii="Courier New" w:hAnsi="Courier New" w:hint="default"/>
      </w:rPr>
    </w:lvl>
    <w:lvl w:ilvl="5" w:tplc="141A0005" w:tentative="1">
      <w:start w:val="1"/>
      <w:numFmt w:val="bullet"/>
      <w:lvlText w:val=""/>
      <w:lvlJc w:val="left"/>
      <w:pPr>
        <w:ind w:left="3753" w:hanging="360"/>
      </w:pPr>
      <w:rPr>
        <w:rFonts w:ascii="Wingdings" w:hAnsi="Wingdings" w:hint="default"/>
      </w:rPr>
    </w:lvl>
    <w:lvl w:ilvl="6" w:tplc="141A0001" w:tentative="1">
      <w:start w:val="1"/>
      <w:numFmt w:val="bullet"/>
      <w:lvlText w:val=""/>
      <w:lvlJc w:val="left"/>
      <w:pPr>
        <w:ind w:left="4473" w:hanging="360"/>
      </w:pPr>
      <w:rPr>
        <w:rFonts w:ascii="Symbol" w:hAnsi="Symbol" w:hint="default"/>
      </w:rPr>
    </w:lvl>
    <w:lvl w:ilvl="7" w:tplc="141A0003" w:tentative="1">
      <w:start w:val="1"/>
      <w:numFmt w:val="bullet"/>
      <w:lvlText w:val="o"/>
      <w:lvlJc w:val="left"/>
      <w:pPr>
        <w:ind w:left="5193" w:hanging="360"/>
      </w:pPr>
      <w:rPr>
        <w:rFonts w:ascii="Courier New" w:hAnsi="Courier New" w:hint="default"/>
      </w:rPr>
    </w:lvl>
    <w:lvl w:ilvl="8" w:tplc="141A0005" w:tentative="1">
      <w:start w:val="1"/>
      <w:numFmt w:val="bullet"/>
      <w:lvlText w:val=""/>
      <w:lvlJc w:val="left"/>
      <w:pPr>
        <w:ind w:left="5913" w:hanging="360"/>
      </w:pPr>
      <w:rPr>
        <w:rFonts w:ascii="Wingdings" w:hAnsi="Wingdings" w:hint="default"/>
      </w:rPr>
    </w:lvl>
  </w:abstractNum>
  <w:abstractNum w:abstractNumId="17" w15:restartNumberingAfterBreak="0">
    <w:nsid w:val="59B06B64"/>
    <w:multiLevelType w:val="hybridMultilevel"/>
    <w:tmpl w:val="FFFFFFFF"/>
    <w:lvl w:ilvl="0" w:tplc="E28A6C7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661299"/>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61C80891"/>
    <w:multiLevelType w:val="hybridMultilevel"/>
    <w:tmpl w:val="FFFFFFFF"/>
    <w:lvl w:ilvl="0" w:tplc="79FA0C3E">
      <w:numFmt w:val="bullet"/>
      <w:lvlText w:val="-"/>
      <w:lvlJc w:val="left"/>
      <w:pPr>
        <w:ind w:left="1065" w:hanging="705"/>
      </w:pPr>
      <w:rPr>
        <w:rFonts w:ascii="Arial" w:eastAsia="Times New Roman" w:hAnsi="Arial" w:hint="default"/>
        <w:b/>
        <w:color w:val="auto"/>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E061F35"/>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71192D3A"/>
    <w:multiLevelType w:val="hybridMultilevel"/>
    <w:tmpl w:val="FFFFFFFF"/>
    <w:lvl w:ilvl="0" w:tplc="00006952">
      <w:start w:val="1"/>
      <w:numFmt w:val="bullet"/>
      <w:lvlText w:val="-"/>
      <w:lvlJc w:val="left"/>
      <w:pPr>
        <w:ind w:left="720" w:hanging="360"/>
      </w:pPr>
      <w:rPr>
        <w:rFonts w:hint="default"/>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22" w15:restartNumberingAfterBreak="0">
    <w:nsid w:val="74DD2203"/>
    <w:multiLevelType w:val="hybridMultilevel"/>
    <w:tmpl w:val="FFFFFFFF"/>
    <w:lvl w:ilvl="0" w:tplc="288E469C">
      <w:start w:val="1"/>
      <w:numFmt w:val="decimal"/>
      <w:lvlText w:val="%1."/>
      <w:lvlJc w:val="left"/>
      <w:pPr>
        <w:ind w:left="1065" w:hanging="705"/>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3" w15:restartNumberingAfterBreak="0">
    <w:nsid w:val="77F24256"/>
    <w:multiLevelType w:val="hybridMultilevel"/>
    <w:tmpl w:val="FFFFFFFF"/>
    <w:lvl w:ilvl="0" w:tplc="B94C50EE">
      <w:numFmt w:val="bullet"/>
      <w:lvlText w:val="-"/>
      <w:lvlJc w:val="lef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7E2224F7"/>
    <w:multiLevelType w:val="hybridMultilevel"/>
    <w:tmpl w:val="FFFFFFFF"/>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408189403">
    <w:abstractNumId w:val="13"/>
  </w:num>
  <w:num w:numId="2" w16cid:durableId="2048026815">
    <w:abstractNumId w:val="13"/>
  </w:num>
  <w:num w:numId="3" w16cid:durableId="761491457">
    <w:abstractNumId w:val="11"/>
  </w:num>
  <w:num w:numId="4" w16cid:durableId="936254432">
    <w:abstractNumId w:val="18"/>
  </w:num>
  <w:num w:numId="5" w16cid:durableId="195773112">
    <w:abstractNumId w:val="3"/>
  </w:num>
  <w:num w:numId="6" w16cid:durableId="1097098204">
    <w:abstractNumId w:val="5"/>
  </w:num>
  <w:num w:numId="7" w16cid:durableId="1312905118">
    <w:abstractNumId w:val="14"/>
  </w:num>
  <w:num w:numId="8" w16cid:durableId="162741979">
    <w:abstractNumId w:val="19"/>
  </w:num>
  <w:num w:numId="9" w16cid:durableId="104735012">
    <w:abstractNumId w:val="9"/>
  </w:num>
  <w:num w:numId="10" w16cid:durableId="128792962">
    <w:abstractNumId w:val="8"/>
  </w:num>
  <w:num w:numId="11" w16cid:durableId="1625498150">
    <w:abstractNumId w:val="6"/>
  </w:num>
  <w:num w:numId="12" w16cid:durableId="956641608">
    <w:abstractNumId w:val="24"/>
  </w:num>
  <w:num w:numId="13" w16cid:durableId="1232499082">
    <w:abstractNumId w:val="15"/>
  </w:num>
  <w:num w:numId="14" w16cid:durableId="154348969">
    <w:abstractNumId w:val="10"/>
  </w:num>
  <w:num w:numId="15" w16cid:durableId="1932661776">
    <w:abstractNumId w:val="17"/>
  </w:num>
  <w:num w:numId="16" w16cid:durableId="1642879249">
    <w:abstractNumId w:val="2"/>
  </w:num>
  <w:num w:numId="17" w16cid:durableId="963997028">
    <w:abstractNumId w:val="12"/>
  </w:num>
  <w:num w:numId="18" w16cid:durableId="1904834221">
    <w:abstractNumId w:val="16"/>
  </w:num>
  <w:num w:numId="19" w16cid:durableId="574625927">
    <w:abstractNumId w:val="7"/>
  </w:num>
  <w:num w:numId="20" w16cid:durableId="999239601">
    <w:abstractNumId w:val="22"/>
  </w:num>
  <w:num w:numId="21" w16cid:durableId="1600793871">
    <w:abstractNumId w:val="21"/>
  </w:num>
  <w:num w:numId="22" w16cid:durableId="1419598148">
    <w:abstractNumId w:val="4"/>
  </w:num>
  <w:num w:numId="23" w16cid:durableId="1465126016">
    <w:abstractNumId w:val="20"/>
  </w:num>
  <w:num w:numId="24" w16cid:durableId="1261179112">
    <w:abstractNumId w:val="23"/>
  </w:num>
  <w:num w:numId="25" w16cid:durableId="1462071964">
    <w:abstractNumId w:val="0"/>
    <w:lvlOverride w:ilvl="0">
      <w:lvl w:ilvl="0">
        <w:numFmt w:val="bullet"/>
        <w:lvlText w:val=""/>
        <w:legacy w:legacy="1" w:legacySpace="0" w:legacyIndent="0"/>
        <w:lvlJc w:val="left"/>
        <w:rPr>
          <w:rFonts w:ascii="Symbol" w:hAnsi="Symbol" w:hint="default"/>
        </w:rPr>
      </w:lvl>
    </w:lvlOverride>
  </w:num>
  <w:num w:numId="26" w16cid:durableId="64266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FF"/>
    <w:rsid w:val="000043AA"/>
    <w:rsid w:val="00006D58"/>
    <w:rsid w:val="00012227"/>
    <w:rsid w:val="00022168"/>
    <w:rsid w:val="00027F1E"/>
    <w:rsid w:val="0003427E"/>
    <w:rsid w:val="0003510B"/>
    <w:rsid w:val="00040C84"/>
    <w:rsid w:val="00040F41"/>
    <w:rsid w:val="000475D1"/>
    <w:rsid w:val="00047F31"/>
    <w:rsid w:val="000501EF"/>
    <w:rsid w:val="000535BD"/>
    <w:rsid w:val="00054260"/>
    <w:rsid w:val="00075F28"/>
    <w:rsid w:val="00077AF1"/>
    <w:rsid w:val="00082DB7"/>
    <w:rsid w:val="00083AC3"/>
    <w:rsid w:val="000848B4"/>
    <w:rsid w:val="000941AC"/>
    <w:rsid w:val="00095CAB"/>
    <w:rsid w:val="000A08F6"/>
    <w:rsid w:val="000B270C"/>
    <w:rsid w:val="000B4B4E"/>
    <w:rsid w:val="000C01D1"/>
    <w:rsid w:val="000C3C6B"/>
    <w:rsid w:val="000D07BC"/>
    <w:rsid w:val="000E105B"/>
    <w:rsid w:val="000E14A6"/>
    <w:rsid w:val="000E7BFE"/>
    <w:rsid w:val="000E7DAD"/>
    <w:rsid w:val="000E7F4D"/>
    <w:rsid w:val="000F3846"/>
    <w:rsid w:val="000F3BBA"/>
    <w:rsid w:val="000F3F7A"/>
    <w:rsid w:val="001002D5"/>
    <w:rsid w:val="00100A65"/>
    <w:rsid w:val="001030AE"/>
    <w:rsid w:val="0010482B"/>
    <w:rsid w:val="001063EE"/>
    <w:rsid w:val="00110056"/>
    <w:rsid w:val="0011730F"/>
    <w:rsid w:val="00126DBE"/>
    <w:rsid w:val="001321D6"/>
    <w:rsid w:val="00132EDD"/>
    <w:rsid w:val="00132FB6"/>
    <w:rsid w:val="001339CB"/>
    <w:rsid w:val="00134034"/>
    <w:rsid w:val="00135C30"/>
    <w:rsid w:val="00136DF2"/>
    <w:rsid w:val="001430D8"/>
    <w:rsid w:val="0015019C"/>
    <w:rsid w:val="00152440"/>
    <w:rsid w:val="00152BFB"/>
    <w:rsid w:val="001579D6"/>
    <w:rsid w:val="00160A71"/>
    <w:rsid w:val="00160BA7"/>
    <w:rsid w:val="00163639"/>
    <w:rsid w:val="00170FC0"/>
    <w:rsid w:val="00171EC7"/>
    <w:rsid w:val="00172526"/>
    <w:rsid w:val="00174E05"/>
    <w:rsid w:val="00181EB3"/>
    <w:rsid w:val="00182BCB"/>
    <w:rsid w:val="001A14F6"/>
    <w:rsid w:val="001A550E"/>
    <w:rsid w:val="001A7A97"/>
    <w:rsid w:val="001B3A8A"/>
    <w:rsid w:val="001B55B2"/>
    <w:rsid w:val="001B6825"/>
    <w:rsid w:val="001B7463"/>
    <w:rsid w:val="001B7E6D"/>
    <w:rsid w:val="001D3634"/>
    <w:rsid w:val="001D54CD"/>
    <w:rsid w:val="001D6416"/>
    <w:rsid w:val="001E36E3"/>
    <w:rsid w:val="001E461F"/>
    <w:rsid w:val="001E5865"/>
    <w:rsid w:val="001F05E6"/>
    <w:rsid w:val="001F1A62"/>
    <w:rsid w:val="001F5760"/>
    <w:rsid w:val="001F62B4"/>
    <w:rsid w:val="0020160F"/>
    <w:rsid w:val="00203829"/>
    <w:rsid w:val="002044B2"/>
    <w:rsid w:val="00214097"/>
    <w:rsid w:val="002215C0"/>
    <w:rsid w:val="0022667B"/>
    <w:rsid w:val="002269D0"/>
    <w:rsid w:val="0023359E"/>
    <w:rsid w:val="00237860"/>
    <w:rsid w:val="002529DF"/>
    <w:rsid w:val="002532C4"/>
    <w:rsid w:val="00256E21"/>
    <w:rsid w:val="002627C4"/>
    <w:rsid w:val="002667B7"/>
    <w:rsid w:val="0027059A"/>
    <w:rsid w:val="00270F11"/>
    <w:rsid w:val="0027138F"/>
    <w:rsid w:val="00273B8B"/>
    <w:rsid w:val="002746FE"/>
    <w:rsid w:val="00277582"/>
    <w:rsid w:val="00277F9C"/>
    <w:rsid w:val="002814CD"/>
    <w:rsid w:val="00290F6D"/>
    <w:rsid w:val="00291C20"/>
    <w:rsid w:val="002A321F"/>
    <w:rsid w:val="002A3616"/>
    <w:rsid w:val="002B3D0B"/>
    <w:rsid w:val="002B505B"/>
    <w:rsid w:val="002B637A"/>
    <w:rsid w:val="002B6C7E"/>
    <w:rsid w:val="002C1365"/>
    <w:rsid w:val="002C4BBA"/>
    <w:rsid w:val="002C73CE"/>
    <w:rsid w:val="002D5E54"/>
    <w:rsid w:val="002E0E41"/>
    <w:rsid w:val="002E373E"/>
    <w:rsid w:val="002E3EE1"/>
    <w:rsid w:val="002F7D23"/>
    <w:rsid w:val="002F7DC7"/>
    <w:rsid w:val="003125ED"/>
    <w:rsid w:val="00321FFA"/>
    <w:rsid w:val="0032438A"/>
    <w:rsid w:val="00331E3F"/>
    <w:rsid w:val="00335B3E"/>
    <w:rsid w:val="003409E2"/>
    <w:rsid w:val="003411DB"/>
    <w:rsid w:val="0034212B"/>
    <w:rsid w:val="003469EB"/>
    <w:rsid w:val="00346A96"/>
    <w:rsid w:val="0035001A"/>
    <w:rsid w:val="0035305A"/>
    <w:rsid w:val="003555C2"/>
    <w:rsid w:val="00375B53"/>
    <w:rsid w:val="003776F4"/>
    <w:rsid w:val="00383C3D"/>
    <w:rsid w:val="00384B68"/>
    <w:rsid w:val="00384E86"/>
    <w:rsid w:val="003964BC"/>
    <w:rsid w:val="003A5437"/>
    <w:rsid w:val="003A7520"/>
    <w:rsid w:val="003B4726"/>
    <w:rsid w:val="003B5C88"/>
    <w:rsid w:val="003B78D1"/>
    <w:rsid w:val="003C1E45"/>
    <w:rsid w:val="003C21C4"/>
    <w:rsid w:val="003C4B57"/>
    <w:rsid w:val="003D0B27"/>
    <w:rsid w:val="003D6D62"/>
    <w:rsid w:val="003E0CDA"/>
    <w:rsid w:val="003E531D"/>
    <w:rsid w:val="003F1016"/>
    <w:rsid w:val="003F64FB"/>
    <w:rsid w:val="003F78EC"/>
    <w:rsid w:val="004044A2"/>
    <w:rsid w:val="00405B47"/>
    <w:rsid w:val="0040789F"/>
    <w:rsid w:val="004121B9"/>
    <w:rsid w:val="004155DC"/>
    <w:rsid w:val="00417DDD"/>
    <w:rsid w:val="00427293"/>
    <w:rsid w:val="00430A36"/>
    <w:rsid w:val="00443DC3"/>
    <w:rsid w:val="00445A71"/>
    <w:rsid w:val="00447FE1"/>
    <w:rsid w:val="00457FB1"/>
    <w:rsid w:val="00462DF5"/>
    <w:rsid w:val="004643F4"/>
    <w:rsid w:val="004672D1"/>
    <w:rsid w:val="004701B5"/>
    <w:rsid w:val="004763AE"/>
    <w:rsid w:val="004775AF"/>
    <w:rsid w:val="004825A3"/>
    <w:rsid w:val="004869F2"/>
    <w:rsid w:val="00490795"/>
    <w:rsid w:val="00497338"/>
    <w:rsid w:val="004A2AC0"/>
    <w:rsid w:val="004A5A55"/>
    <w:rsid w:val="004A6C80"/>
    <w:rsid w:val="004A6E27"/>
    <w:rsid w:val="004B0116"/>
    <w:rsid w:val="004B02A8"/>
    <w:rsid w:val="004B3FE3"/>
    <w:rsid w:val="004D08C8"/>
    <w:rsid w:val="004D1B18"/>
    <w:rsid w:val="004D3336"/>
    <w:rsid w:val="004D3406"/>
    <w:rsid w:val="004E3980"/>
    <w:rsid w:val="004F4E96"/>
    <w:rsid w:val="004F5B0C"/>
    <w:rsid w:val="004F5E1F"/>
    <w:rsid w:val="00501F41"/>
    <w:rsid w:val="00504F9F"/>
    <w:rsid w:val="0050539F"/>
    <w:rsid w:val="00511C49"/>
    <w:rsid w:val="00521061"/>
    <w:rsid w:val="00524271"/>
    <w:rsid w:val="005245D4"/>
    <w:rsid w:val="005262FE"/>
    <w:rsid w:val="00530790"/>
    <w:rsid w:val="005329E2"/>
    <w:rsid w:val="00541736"/>
    <w:rsid w:val="00542A31"/>
    <w:rsid w:val="00553212"/>
    <w:rsid w:val="00555367"/>
    <w:rsid w:val="005635A2"/>
    <w:rsid w:val="00565204"/>
    <w:rsid w:val="005720CD"/>
    <w:rsid w:val="00572E4F"/>
    <w:rsid w:val="005773A0"/>
    <w:rsid w:val="00586566"/>
    <w:rsid w:val="005A0198"/>
    <w:rsid w:val="005A1A37"/>
    <w:rsid w:val="005A23B9"/>
    <w:rsid w:val="005A3285"/>
    <w:rsid w:val="005A6EC8"/>
    <w:rsid w:val="005A7713"/>
    <w:rsid w:val="005B379B"/>
    <w:rsid w:val="005B39CD"/>
    <w:rsid w:val="005B4493"/>
    <w:rsid w:val="005C380C"/>
    <w:rsid w:val="005C4DA5"/>
    <w:rsid w:val="005C70EC"/>
    <w:rsid w:val="005D056D"/>
    <w:rsid w:val="005D7D2D"/>
    <w:rsid w:val="005E529D"/>
    <w:rsid w:val="005E5E94"/>
    <w:rsid w:val="005F05BE"/>
    <w:rsid w:val="005F288C"/>
    <w:rsid w:val="00601AF5"/>
    <w:rsid w:val="00601C42"/>
    <w:rsid w:val="00602BCE"/>
    <w:rsid w:val="00605ED6"/>
    <w:rsid w:val="00611143"/>
    <w:rsid w:val="00612448"/>
    <w:rsid w:val="006168C6"/>
    <w:rsid w:val="00617541"/>
    <w:rsid w:val="0061790A"/>
    <w:rsid w:val="00621800"/>
    <w:rsid w:val="00621BA9"/>
    <w:rsid w:val="00626B10"/>
    <w:rsid w:val="00631A66"/>
    <w:rsid w:val="006326A4"/>
    <w:rsid w:val="0063420B"/>
    <w:rsid w:val="00634F1B"/>
    <w:rsid w:val="00636ED5"/>
    <w:rsid w:val="00640631"/>
    <w:rsid w:val="0064074D"/>
    <w:rsid w:val="00640D89"/>
    <w:rsid w:val="00651A46"/>
    <w:rsid w:val="00652227"/>
    <w:rsid w:val="006525EF"/>
    <w:rsid w:val="00652E11"/>
    <w:rsid w:val="00656889"/>
    <w:rsid w:val="00656A62"/>
    <w:rsid w:val="006607EF"/>
    <w:rsid w:val="00663BC2"/>
    <w:rsid w:val="00666115"/>
    <w:rsid w:val="00667D13"/>
    <w:rsid w:val="006718C3"/>
    <w:rsid w:val="0067370A"/>
    <w:rsid w:val="00673846"/>
    <w:rsid w:val="00673B5E"/>
    <w:rsid w:val="00674C0B"/>
    <w:rsid w:val="00675323"/>
    <w:rsid w:val="006773CD"/>
    <w:rsid w:val="00682B31"/>
    <w:rsid w:val="006843A9"/>
    <w:rsid w:val="00690209"/>
    <w:rsid w:val="006A26ED"/>
    <w:rsid w:val="006A3787"/>
    <w:rsid w:val="006A7000"/>
    <w:rsid w:val="006C6153"/>
    <w:rsid w:val="006D21E6"/>
    <w:rsid w:val="006D4EEB"/>
    <w:rsid w:val="006E209F"/>
    <w:rsid w:val="006E225E"/>
    <w:rsid w:val="006F2471"/>
    <w:rsid w:val="006F7E47"/>
    <w:rsid w:val="00700AC1"/>
    <w:rsid w:val="00700EE6"/>
    <w:rsid w:val="007032E3"/>
    <w:rsid w:val="00711765"/>
    <w:rsid w:val="00722C5D"/>
    <w:rsid w:val="00722D8F"/>
    <w:rsid w:val="00723946"/>
    <w:rsid w:val="00725612"/>
    <w:rsid w:val="0072591F"/>
    <w:rsid w:val="007261EE"/>
    <w:rsid w:val="0072776B"/>
    <w:rsid w:val="00730BA0"/>
    <w:rsid w:val="0073694C"/>
    <w:rsid w:val="007439D4"/>
    <w:rsid w:val="00746BB2"/>
    <w:rsid w:val="00747034"/>
    <w:rsid w:val="007534D5"/>
    <w:rsid w:val="00762876"/>
    <w:rsid w:val="00762897"/>
    <w:rsid w:val="007704A7"/>
    <w:rsid w:val="0077559F"/>
    <w:rsid w:val="00775D04"/>
    <w:rsid w:val="007779C9"/>
    <w:rsid w:val="00782275"/>
    <w:rsid w:val="0079144A"/>
    <w:rsid w:val="0079170C"/>
    <w:rsid w:val="00792484"/>
    <w:rsid w:val="007935EE"/>
    <w:rsid w:val="00795B2B"/>
    <w:rsid w:val="007A7981"/>
    <w:rsid w:val="007B7487"/>
    <w:rsid w:val="007C7430"/>
    <w:rsid w:val="007D1EAA"/>
    <w:rsid w:val="007E0261"/>
    <w:rsid w:val="007E2C7E"/>
    <w:rsid w:val="007E2D20"/>
    <w:rsid w:val="007E3AE4"/>
    <w:rsid w:val="007F2F53"/>
    <w:rsid w:val="007F35A7"/>
    <w:rsid w:val="007F4BC0"/>
    <w:rsid w:val="007F7F0E"/>
    <w:rsid w:val="00801B8F"/>
    <w:rsid w:val="00802A07"/>
    <w:rsid w:val="008065A2"/>
    <w:rsid w:val="00817E8F"/>
    <w:rsid w:val="00821498"/>
    <w:rsid w:val="008226AF"/>
    <w:rsid w:val="0082340E"/>
    <w:rsid w:val="008237C9"/>
    <w:rsid w:val="008410CE"/>
    <w:rsid w:val="008424FA"/>
    <w:rsid w:val="00844F9D"/>
    <w:rsid w:val="00846E5A"/>
    <w:rsid w:val="008470D0"/>
    <w:rsid w:val="0085047F"/>
    <w:rsid w:val="008510FB"/>
    <w:rsid w:val="008538A1"/>
    <w:rsid w:val="00856DDF"/>
    <w:rsid w:val="008570EB"/>
    <w:rsid w:val="0086592C"/>
    <w:rsid w:val="00867417"/>
    <w:rsid w:val="0087095C"/>
    <w:rsid w:val="008765A6"/>
    <w:rsid w:val="008831DF"/>
    <w:rsid w:val="0088380C"/>
    <w:rsid w:val="008868B5"/>
    <w:rsid w:val="008916E6"/>
    <w:rsid w:val="008A3152"/>
    <w:rsid w:val="008A5974"/>
    <w:rsid w:val="008B00A9"/>
    <w:rsid w:val="008B52AD"/>
    <w:rsid w:val="008C2C7B"/>
    <w:rsid w:val="008C3661"/>
    <w:rsid w:val="008C3AA0"/>
    <w:rsid w:val="008C4EC8"/>
    <w:rsid w:val="008C63D8"/>
    <w:rsid w:val="008D2245"/>
    <w:rsid w:val="008F1B23"/>
    <w:rsid w:val="008F6C31"/>
    <w:rsid w:val="00901359"/>
    <w:rsid w:val="00905A2F"/>
    <w:rsid w:val="00910335"/>
    <w:rsid w:val="00912113"/>
    <w:rsid w:val="00912B56"/>
    <w:rsid w:val="00912E1E"/>
    <w:rsid w:val="009144B9"/>
    <w:rsid w:val="00916CCA"/>
    <w:rsid w:val="0092645D"/>
    <w:rsid w:val="00935D9D"/>
    <w:rsid w:val="00941327"/>
    <w:rsid w:val="00943522"/>
    <w:rsid w:val="00943EDA"/>
    <w:rsid w:val="0094652A"/>
    <w:rsid w:val="00952DEA"/>
    <w:rsid w:val="00956F2B"/>
    <w:rsid w:val="00962603"/>
    <w:rsid w:val="00964928"/>
    <w:rsid w:val="00965C3C"/>
    <w:rsid w:val="009661D1"/>
    <w:rsid w:val="00966730"/>
    <w:rsid w:val="009726E9"/>
    <w:rsid w:val="00972A8B"/>
    <w:rsid w:val="00975657"/>
    <w:rsid w:val="00983E0C"/>
    <w:rsid w:val="00983E77"/>
    <w:rsid w:val="00992DF1"/>
    <w:rsid w:val="00994AD6"/>
    <w:rsid w:val="009A674D"/>
    <w:rsid w:val="009A7858"/>
    <w:rsid w:val="009B0C82"/>
    <w:rsid w:val="009B2527"/>
    <w:rsid w:val="009B49DC"/>
    <w:rsid w:val="009C4559"/>
    <w:rsid w:val="009C5009"/>
    <w:rsid w:val="009C6977"/>
    <w:rsid w:val="009D288B"/>
    <w:rsid w:val="009D2C91"/>
    <w:rsid w:val="009D4752"/>
    <w:rsid w:val="009D7048"/>
    <w:rsid w:val="009E05FC"/>
    <w:rsid w:val="009E365C"/>
    <w:rsid w:val="009F4F4E"/>
    <w:rsid w:val="009F7A92"/>
    <w:rsid w:val="00A040AA"/>
    <w:rsid w:val="00A1276D"/>
    <w:rsid w:val="00A1331A"/>
    <w:rsid w:val="00A16181"/>
    <w:rsid w:val="00A211C2"/>
    <w:rsid w:val="00A23BF8"/>
    <w:rsid w:val="00A255E6"/>
    <w:rsid w:val="00A25F29"/>
    <w:rsid w:val="00A35857"/>
    <w:rsid w:val="00A51BBB"/>
    <w:rsid w:val="00A543D0"/>
    <w:rsid w:val="00A5592D"/>
    <w:rsid w:val="00A56255"/>
    <w:rsid w:val="00A605A9"/>
    <w:rsid w:val="00A625F7"/>
    <w:rsid w:val="00A654A9"/>
    <w:rsid w:val="00A67C76"/>
    <w:rsid w:val="00A709CD"/>
    <w:rsid w:val="00A72C99"/>
    <w:rsid w:val="00A742A6"/>
    <w:rsid w:val="00A80B4E"/>
    <w:rsid w:val="00A82C56"/>
    <w:rsid w:val="00A82FF2"/>
    <w:rsid w:val="00A83F2D"/>
    <w:rsid w:val="00A8423F"/>
    <w:rsid w:val="00A8513E"/>
    <w:rsid w:val="00A85A45"/>
    <w:rsid w:val="00A866C5"/>
    <w:rsid w:val="00AA113C"/>
    <w:rsid w:val="00AB1398"/>
    <w:rsid w:val="00AB290F"/>
    <w:rsid w:val="00AB6DCC"/>
    <w:rsid w:val="00AB782A"/>
    <w:rsid w:val="00AC13FB"/>
    <w:rsid w:val="00AC5047"/>
    <w:rsid w:val="00AD1FB1"/>
    <w:rsid w:val="00AD234E"/>
    <w:rsid w:val="00AE2DC5"/>
    <w:rsid w:val="00AE3135"/>
    <w:rsid w:val="00AE35DA"/>
    <w:rsid w:val="00AF0572"/>
    <w:rsid w:val="00AF6483"/>
    <w:rsid w:val="00AF657E"/>
    <w:rsid w:val="00AF745D"/>
    <w:rsid w:val="00B05FBD"/>
    <w:rsid w:val="00B06386"/>
    <w:rsid w:val="00B07806"/>
    <w:rsid w:val="00B13A1F"/>
    <w:rsid w:val="00B2077A"/>
    <w:rsid w:val="00B23729"/>
    <w:rsid w:val="00B25685"/>
    <w:rsid w:val="00B26A04"/>
    <w:rsid w:val="00B41D85"/>
    <w:rsid w:val="00B45144"/>
    <w:rsid w:val="00B45AC4"/>
    <w:rsid w:val="00B47337"/>
    <w:rsid w:val="00B63957"/>
    <w:rsid w:val="00B64A24"/>
    <w:rsid w:val="00B7259E"/>
    <w:rsid w:val="00B73DF6"/>
    <w:rsid w:val="00B80B35"/>
    <w:rsid w:val="00B80BB6"/>
    <w:rsid w:val="00B80EB3"/>
    <w:rsid w:val="00B82167"/>
    <w:rsid w:val="00B854D9"/>
    <w:rsid w:val="00B90D7B"/>
    <w:rsid w:val="00B96089"/>
    <w:rsid w:val="00BA2048"/>
    <w:rsid w:val="00BA646A"/>
    <w:rsid w:val="00BB1B06"/>
    <w:rsid w:val="00BB45BB"/>
    <w:rsid w:val="00BB4846"/>
    <w:rsid w:val="00BC13A7"/>
    <w:rsid w:val="00BD23E7"/>
    <w:rsid w:val="00BD2D37"/>
    <w:rsid w:val="00BE0697"/>
    <w:rsid w:val="00BE214B"/>
    <w:rsid w:val="00BE2D87"/>
    <w:rsid w:val="00BE43FE"/>
    <w:rsid w:val="00BE71F1"/>
    <w:rsid w:val="00BF3448"/>
    <w:rsid w:val="00BF4E10"/>
    <w:rsid w:val="00BF58C5"/>
    <w:rsid w:val="00C03286"/>
    <w:rsid w:val="00C0566E"/>
    <w:rsid w:val="00C068BB"/>
    <w:rsid w:val="00C116DC"/>
    <w:rsid w:val="00C13DB0"/>
    <w:rsid w:val="00C32276"/>
    <w:rsid w:val="00C35704"/>
    <w:rsid w:val="00C4189F"/>
    <w:rsid w:val="00C41BEA"/>
    <w:rsid w:val="00C42C52"/>
    <w:rsid w:val="00C4421F"/>
    <w:rsid w:val="00C4641D"/>
    <w:rsid w:val="00C479EB"/>
    <w:rsid w:val="00C51BA6"/>
    <w:rsid w:val="00C51CAF"/>
    <w:rsid w:val="00C5549A"/>
    <w:rsid w:val="00C56B1A"/>
    <w:rsid w:val="00C61FC2"/>
    <w:rsid w:val="00C65B1D"/>
    <w:rsid w:val="00C66144"/>
    <w:rsid w:val="00C72981"/>
    <w:rsid w:val="00C73540"/>
    <w:rsid w:val="00C73ABB"/>
    <w:rsid w:val="00C82ECA"/>
    <w:rsid w:val="00C83579"/>
    <w:rsid w:val="00C83B69"/>
    <w:rsid w:val="00C919A0"/>
    <w:rsid w:val="00C94120"/>
    <w:rsid w:val="00CA272E"/>
    <w:rsid w:val="00CA77AC"/>
    <w:rsid w:val="00CB0BAD"/>
    <w:rsid w:val="00CB417D"/>
    <w:rsid w:val="00CB4D55"/>
    <w:rsid w:val="00CB68D6"/>
    <w:rsid w:val="00CB6A8E"/>
    <w:rsid w:val="00CC0B39"/>
    <w:rsid w:val="00CC108F"/>
    <w:rsid w:val="00CC4F5D"/>
    <w:rsid w:val="00CC5E7D"/>
    <w:rsid w:val="00CC7626"/>
    <w:rsid w:val="00CC7802"/>
    <w:rsid w:val="00CC7A63"/>
    <w:rsid w:val="00CD2292"/>
    <w:rsid w:val="00CD2572"/>
    <w:rsid w:val="00CD3148"/>
    <w:rsid w:val="00CD6FBF"/>
    <w:rsid w:val="00CE2E28"/>
    <w:rsid w:val="00CE358C"/>
    <w:rsid w:val="00CE48C6"/>
    <w:rsid w:val="00CE5218"/>
    <w:rsid w:val="00CE7621"/>
    <w:rsid w:val="00CF3D54"/>
    <w:rsid w:val="00CF73A2"/>
    <w:rsid w:val="00D04828"/>
    <w:rsid w:val="00D049D4"/>
    <w:rsid w:val="00D05E87"/>
    <w:rsid w:val="00D110F0"/>
    <w:rsid w:val="00D16D89"/>
    <w:rsid w:val="00D23E35"/>
    <w:rsid w:val="00D2626A"/>
    <w:rsid w:val="00D26924"/>
    <w:rsid w:val="00D31A70"/>
    <w:rsid w:val="00D3484A"/>
    <w:rsid w:val="00D350F7"/>
    <w:rsid w:val="00D42205"/>
    <w:rsid w:val="00D4349B"/>
    <w:rsid w:val="00D44695"/>
    <w:rsid w:val="00D54D6D"/>
    <w:rsid w:val="00D652BB"/>
    <w:rsid w:val="00D75D15"/>
    <w:rsid w:val="00D825CE"/>
    <w:rsid w:val="00D864DF"/>
    <w:rsid w:val="00D9196A"/>
    <w:rsid w:val="00D922DB"/>
    <w:rsid w:val="00D92931"/>
    <w:rsid w:val="00D95066"/>
    <w:rsid w:val="00DA0411"/>
    <w:rsid w:val="00DA4DE9"/>
    <w:rsid w:val="00DA4E77"/>
    <w:rsid w:val="00DB1727"/>
    <w:rsid w:val="00DB176C"/>
    <w:rsid w:val="00DB6D09"/>
    <w:rsid w:val="00DB7C17"/>
    <w:rsid w:val="00DC07BA"/>
    <w:rsid w:val="00DE1B4B"/>
    <w:rsid w:val="00DE7644"/>
    <w:rsid w:val="00DF5277"/>
    <w:rsid w:val="00DF5E94"/>
    <w:rsid w:val="00E01089"/>
    <w:rsid w:val="00E24663"/>
    <w:rsid w:val="00E33D2D"/>
    <w:rsid w:val="00E34F28"/>
    <w:rsid w:val="00E3752E"/>
    <w:rsid w:val="00E4050A"/>
    <w:rsid w:val="00E40FB0"/>
    <w:rsid w:val="00E41FC3"/>
    <w:rsid w:val="00E478FE"/>
    <w:rsid w:val="00E50252"/>
    <w:rsid w:val="00E5154D"/>
    <w:rsid w:val="00E53B23"/>
    <w:rsid w:val="00E5720C"/>
    <w:rsid w:val="00E57C5A"/>
    <w:rsid w:val="00E60E31"/>
    <w:rsid w:val="00E611B9"/>
    <w:rsid w:val="00E61862"/>
    <w:rsid w:val="00E6607F"/>
    <w:rsid w:val="00E73B58"/>
    <w:rsid w:val="00E811DF"/>
    <w:rsid w:val="00E83757"/>
    <w:rsid w:val="00E86324"/>
    <w:rsid w:val="00E871B5"/>
    <w:rsid w:val="00E94B7E"/>
    <w:rsid w:val="00E9611D"/>
    <w:rsid w:val="00E976F4"/>
    <w:rsid w:val="00EA5762"/>
    <w:rsid w:val="00EC215C"/>
    <w:rsid w:val="00ED1663"/>
    <w:rsid w:val="00ED41AB"/>
    <w:rsid w:val="00EE6E5C"/>
    <w:rsid w:val="00EF23F0"/>
    <w:rsid w:val="00EF6A4B"/>
    <w:rsid w:val="00F022B1"/>
    <w:rsid w:val="00F034E8"/>
    <w:rsid w:val="00F06043"/>
    <w:rsid w:val="00F07515"/>
    <w:rsid w:val="00F112FB"/>
    <w:rsid w:val="00F15630"/>
    <w:rsid w:val="00F20B2F"/>
    <w:rsid w:val="00F21D61"/>
    <w:rsid w:val="00F235A6"/>
    <w:rsid w:val="00F41C23"/>
    <w:rsid w:val="00F42483"/>
    <w:rsid w:val="00F43A52"/>
    <w:rsid w:val="00F46FEC"/>
    <w:rsid w:val="00F5097D"/>
    <w:rsid w:val="00F53516"/>
    <w:rsid w:val="00F65D0B"/>
    <w:rsid w:val="00F662B8"/>
    <w:rsid w:val="00F70F99"/>
    <w:rsid w:val="00F72FDA"/>
    <w:rsid w:val="00F73AC8"/>
    <w:rsid w:val="00F73DBF"/>
    <w:rsid w:val="00F8547C"/>
    <w:rsid w:val="00F94119"/>
    <w:rsid w:val="00F961A7"/>
    <w:rsid w:val="00F96E65"/>
    <w:rsid w:val="00FA5246"/>
    <w:rsid w:val="00FA56D8"/>
    <w:rsid w:val="00FA63EA"/>
    <w:rsid w:val="00FB0379"/>
    <w:rsid w:val="00FB076F"/>
    <w:rsid w:val="00FB0F45"/>
    <w:rsid w:val="00FB23ED"/>
    <w:rsid w:val="00FB3BE1"/>
    <w:rsid w:val="00FB3C84"/>
    <w:rsid w:val="00FB4291"/>
    <w:rsid w:val="00FC212D"/>
    <w:rsid w:val="00FC23FF"/>
    <w:rsid w:val="00FC6B26"/>
    <w:rsid w:val="00FD2D35"/>
    <w:rsid w:val="00FD4285"/>
    <w:rsid w:val="00FD5065"/>
    <w:rsid w:val="00FD6A85"/>
    <w:rsid w:val="00FD6B46"/>
    <w:rsid w:val="00FF332C"/>
    <w:rsid w:val="00FF44A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030F3"/>
  <w14:defaultImageDpi w14:val="0"/>
  <w15:docId w15:val="{4B39471E-9A38-41EF-940F-3810E5CF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45D"/>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locked/>
    <w:rsid w:val="00AF745D"/>
    <w:rPr>
      <w:rFonts w:cs="Times New Roman"/>
    </w:rPr>
  </w:style>
  <w:style w:type="paragraph" w:styleId="Footer">
    <w:name w:val="footer"/>
    <w:basedOn w:val="Normal"/>
    <w:link w:val="FooterChar"/>
    <w:uiPriority w:val="99"/>
    <w:unhideWhenUsed/>
    <w:rsid w:val="00AF745D"/>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locked/>
    <w:rsid w:val="00AF745D"/>
    <w:rPr>
      <w:rFonts w:cs="Times New Roman"/>
    </w:rPr>
  </w:style>
  <w:style w:type="paragraph" w:styleId="NoSpacing">
    <w:name w:val="No Spacing"/>
    <w:link w:val="NoSpacingChar"/>
    <w:uiPriority w:val="1"/>
    <w:qFormat/>
    <w:rsid w:val="00792484"/>
    <w:rPr>
      <w:rFonts w:cs="Times New Roman"/>
      <w:sz w:val="22"/>
      <w:szCs w:val="22"/>
      <w:lang w:val="bs-Latn-BA" w:eastAsia="bs-Latn-BA"/>
    </w:rPr>
  </w:style>
  <w:style w:type="paragraph" w:styleId="ListParagraph">
    <w:name w:val="List Paragraph"/>
    <w:basedOn w:val="Normal"/>
    <w:uiPriority w:val="34"/>
    <w:qFormat/>
    <w:rsid w:val="00BA646A"/>
    <w:pPr>
      <w:spacing w:after="0" w:line="240" w:lineRule="auto"/>
      <w:ind w:left="720"/>
    </w:pPr>
    <w:rPr>
      <w:rFonts w:cs="Calibri"/>
      <w:lang w:eastAsia="en-US"/>
    </w:rPr>
  </w:style>
  <w:style w:type="paragraph" w:styleId="BalloonText">
    <w:name w:val="Balloon Text"/>
    <w:basedOn w:val="Normal"/>
    <w:link w:val="BalloonTextChar"/>
    <w:uiPriority w:val="99"/>
    <w:semiHidden/>
    <w:unhideWhenUsed/>
    <w:rsid w:val="004701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4701B5"/>
    <w:rPr>
      <w:rFonts w:ascii="Tahoma" w:hAnsi="Tahoma" w:cs="Times New Roman"/>
      <w:sz w:val="16"/>
    </w:rPr>
  </w:style>
  <w:style w:type="table" w:styleId="TableGrid">
    <w:name w:val="Table Grid"/>
    <w:basedOn w:val="TableNormal"/>
    <w:uiPriority w:val="39"/>
    <w:rsid w:val="001A550E"/>
    <w:rPr>
      <w:rFonts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50E"/>
    <w:rPr>
      <w:rFonts w:cs="Times New Roman"/>
      <w:color w:val="0000FF"/>
      <w:u w:val="single"/>
    </w:rPr>
  </w:style>
  <w:style w:type="character" w:styleId="CommentReference">
    <w:name w:val="annotation reference"/>
    <w:basedOn w:val="DefaultParagraphFont"/>
    <w:uiPriority w:val="99"/>
    <w:semiHidden/>
    <w:unhideWhenUsed/>
    <w:rsid w:val="005A23B9"/>
    <w:rPr>
      <w:rFonts w:cs="Times New Roman"/>
      <w:sz w:val="16"/>
    </w:rPr>
  </w:style>
  <w:style w:type="paragraph" w:styleId="CommentText">
    <w:name w:val="annotation text"/>
    <w:basedOn w:val="Normal"/>
    <w:link w:val="CommentTextChar"/>
    <w:uiPriority w:val="99"/>
    <w:unhideWhenUsed/>
    <w:rsid w:val="005A23B9"/>
    <w:pPr>
      <w:spacing w:line="240" w:lineRule="auto"/>
    </w:pPr>
    <w:rPr>
      <w:sz w:val="20"/>
      <w:szCs w:val="20"/>
    </w:rPr>
  </w:style>
  <w:style w:type="character" w:customStyle="1" w:styleId="CommentTextChar">
    <w:name w:val="Comment Text Char"/>
    <w:basedOn w:val="DefaultParagraphFont"/>
    <w:link w:val="CommentText"/>
    <w:uiPriority w:val="99"/>
    <w:locked/>
    <w:rsid w:val="005A23B9"/>
    <w:rPr>
      <w:rFonts w:cs="Times New Roman"/>
      <w:sz w:val="20"/>
    </w:rPr>
  </w:style>
  <w:style w:type="paragraph" w:styleId="CommentSubject">
    <w:name w:val="annotation subject"/>
    <w:basedOn w:val="CommentText"/>
    <w:next w:val="CommentText"/>
    <w:link w:val="CommentSubjectChar"/>
    <w:uiPriority w:val="99"/>
    <w:semiHidden/>
    <w:unhideWhenUsed/>
    <w:rsid w:val="005A23B9"/>
    <w:rPr>
      <w:b/>
      <w:bCs/>
    </w:rPr>
  </w:style>
  <w:style w:type="character" w:customStyle="1" w:styleId="CommentSubjectChar">
    <w:name w:val="Comment Subject Char"/>
    <w:basedOn w:val="CommentTextChar"/>
    <w:link w:val="CommentSubject"/>
    <w:uiPriority w:val="99"/>
    <w:semiHidden/>
    <w:locked/>
    <w:rsid w:val="005A23B9"/>
    <w:rPr>
      <w:rFonts w:cs="Times New Roman"/>
      <w:b/>
      <w:sz w:val="20"/>
    </w:rPr>
  </w:style>
  <w:style w:type="paragraph" w:customStyle="1" w:styleId="nastevanje1nivo">
    <w:name w:val="nastevanje_1_nivo"/>
    <w:basedOn w:val="Normal"/>
    <w:rsid w:val="00ED1663"/>
    <w:pPr>
      <w:numPr>
        <w:numId w:val="16"/>
      </w:numPr>
      <w:tabs>
        <w:tab w:val="left" w:pos="284"/>
      </w:tabs>
      <w:spacing w:after="0" w:line="240" w:lineRule="auto"/>
    </w:pPr>
    <w:rPr>
      <w:rFonts w:ascii="Arial" w:hAnsi="Arial"/>
      <w:sz w:val="20"/>
      <w:szCs w:val="20"/>
      <w:lang w:val="sl-SI" w:eastAsia="en-US"/>
    </w:rPr>
  </w:style>
  <w:style w:type="paragraph" w:styleId="BodyText">
    <w:name w:val="Body Text"/>
    <w:basedOn w:val="Normal"/>
    <w:link w:val="BodyTextChar"/>
    <w:uiPriority w:val="99"/>
    <w:rsid w:val="00100A65"/>
    <w:pPr>
      <w:spacing w:after="0" w:line="240" w:lineRule="auto"/>
      <w:jc w:val="both"/>
    </w:pPr>
    <w:rPr>
      <w:rFonts w:ascii="Arial" w:hAnsi="Arial"/>
      <w:sz w:val="20"/>
      <w:szCs w:val="20"/>
      <w:lang w:val="hr-HR" w:eastAsia="en-US"/>
    </w:rPr>
  </w:style>
  <w:style w:type="character" w:customStyle="1" w:styleId="BodyTextChar">
    <w:name w:val="Body Text Char"/>
    <w:basedOn w:val="DefaultParagraphFont"/>
    <w:link w:val="BodyText"/>
    <w:uiPriority w:val="99"/>
    <w:locked/>
    <w:rsid w:val="00100A65"/>
    <w:rPr>
      <w:rFonts w:ascii="Arial" w:hAnsi="Arial" w:cs="Times New Roman"/>
      <w:lang w:val="hr-HR" w:eastAsia="en-US"/>
    </w:rPr>
  </w:style>
  <w:style w:type="paragraph" w:customStyle="1" w:styleId="Char">
    <w:name w:val="Char"/>
    <w:basedOn w:val="Normal"/>
    <w:rsid w:val="00CB417D"/>
    <w:pPr>
      <w:spacing w:after="160" w:line="240" w:lineRule="exact"/>
    </w:pPr>
    <w:rPr>
      <w:rFonts w:ascii="Times New Roman" w:hAnsi="Times New Roman"/>
      <w:sz w:val="20"/>
      <w:szCs w:val="20"/>
      <w:lang w:val="en-GB" w:eastAsia="en-US"/>
    </w:rPr>
  </w:style>
  <w:style w:type="paragraph" w:customStyle="1" w:styleId="CharCharCharChar">
    <w:name w:val="Char Char Char Char"/>
    <w:basedOn w:val="Normal"/>
    <w:uiPriority w:val="99"/>
    <w:rsid w:val="00040F41"/>
    <w:pPr>
      <w:spacing w:after="160" w:line="240" w:lineRule="exact"/>
    </w:pPr>
    <w:rPr>
      <w:rFonts w:ascii="Arial" w:hAnsi="Arial" w:cs="Arial"/>
      <w:sz w:val="20"/>
      <w:szCs w:val="20"/>
      <w:lang w:val="en-GB" w:eastAsia="en-US"/>
    </w:rPr>
  </w:style>
  <w:style w:type="character" w:customStyle="1" w:styleId="NoSpacingChar">
    <w:name w:val="No Spacing Char"/>
    <w:link w:val="NoSpacing"/>
    <w:uiPriority w:val="1"/>
    <w:locked/>
    <w:rsid w:val="00C72981"/>
    <w:rPr>
      <w:sz w:val="22"/>
    </w:rPr>
  </w:style>
  <w:style w:type="paragraph" w:styleId="Revision">
    <w:name w:val="Revision"/>
    <w:hidden/>
    <w:uiPriority w:val="99"/>
    <w:semiHidden/>
    <w:rsid w:val="003469EB"/>
    <w:rPr>
      <w:rFonts w:cs="Times New Roman"/>
      <w:sz w:val="22"/>
      <w:szCs w:val="22"/>
      <w:lang w:val="bs-Latn-BA" w:eastAsia="bs-Latn-BA"/>
    </w:rPr>
  </w:style>
  <w:style w:type="character" w:customStyle="1" w:styleId="cf01">
    <w:name w:val="cf01"/>
    <w:rsid w:val="00956F2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724335">
      <w:marLeft w:val="0"/>
      <w:marRight w:val="0"/>
      <w:marTop w:val="0"/>
      <w:marBottom w:val="0"/>
      <w:divBdr>
        <w:top w:val="none" w:sz="0" w:space="0" w:color="auto"/>
        <w:left w:val="none" w:sz="0" w:space="0" w:color="auto"/>
        <w:bottom w:val="none" w:sz="0" w:space="0" w:color="auto"/>
        <w:right w:val="none" w:sz="0" w:space="0" w:color="auto"/>
      </w:divBdr>
    </w:div>
    <w:div w:id="939724336">
      <w:marLeft w:val="0"/>
      <w:marRight w:val="0"/>
      <w:marTop w:val="0"/>
      <w:marBottom w:val="0"/>
      <w:divBdr>
        <w:top w:val="none" w:sz="0" w:space="0" w:color="auto"/>
        <w:left w:val="none" w:sz="0" w:space="0" w:color="auto"/>
        <w:bottom w:val="none" w:sz="0" w:space="0" w:color="auto"/>
        <w:right w:val="none" w:sz="0" w:space="0" w:color="auto"/>
      </w:divBdr>
    </w:div>
    <w:div w:id="939724337">
      <w:marLeft w:val="0"/>
      <w:marRight w:val="0"/>
      <w:marTop w:val="0"/>
      <w:marBottom w:val="0"/>
      <w:divBdr>
        <w:top w:val="none" w:sz="0" w:space="0" w:color="auto"/>
        <w:left w:val="none" w:sz="0" w:space="0" w:color="auto"/>
        <w:bottom w:val="none" w:sz="0" w:space="0" w:color="auto"/>
        <w:right w:val="none" w:sz="0" w:space="0" w:color="auto"/>
      </w:divBdr>
    </w:div>
    <w:div w:id="939724338">
      <w:marLeft w:val="0"/>
      <w:marRight w:val="0"/>
      <w:marTop w:val="0"/>
      <w:marBottom w:val="0"/>
      <w:divBdr>
        <w:top w:val="none" w:sz="0" w:space="0" w:color="auto"/>
        <w:left w:val="none" w:sz="0" w:space="0" w:color="auto"/>
        <w:bottom w:val="none" w:sz="0" w:space="0" w:color="auto"/>
        <w:right w:val="none" w:sz="0" w:space="0" w:color="auto"/>
      </w:divBdr>
    </w:div>
    <w:div w:id="939724339">
      <w:marLeft w:val="0"/>
      <w:marRight w:val="0"/>
      <w:marTop w:val="0"/>
      <w:marBottom w:val="0"/>
      <w:divBdr>
        <w:top w:val="none" w:sz="0" w:space="0" w:color="auto"/>
        <w:left w:val="none" w:sz="0" w:space="0" w:color="auto"/>
        <w:bottom w:val="none" w:sz="0" w:space="0" w:color="auto"/>
        <w:right w:val="none" w:sz="0" w:space="0" w:color="auto"/>
      </w:divBdr>
    </w:div>
    <w:div w:id="939724340">
      <w:marLeft w:val="0"/>
      <w:marRight w:val="0"/>
      <w:marTop w:val="0"/>
      <w:marBottom w:val="0"/>
      <w:divBdr>
        <w:top w:val="none" w:sz="0" w:space="0" w:color="auto"/>
        <w:left w:val="none" w:sz="0" w:space="0" w:color="auto"/>
        <w:bottom w:val="none" w:sz="0" w:space="0" w:color="auto"/>
        <w:right w:val="none" w:sz="0" w:space="0" w:color="auto"/>
      </w:divBdr>
    </w:div>
    <w:div w:id="939724341">
      <w:marLeft w:val="0"/>
      <w:marRight w:val="0"/>
      <w:marTop w:val="0"/>
      <w:marBottom w:val="0"/>
      <w:divBdr>
        <w:top w:val="none" w:sz="0" w:space="0" w:color="auto"/>
        <w:left w:val="none" w:sz="0" w:space="0" w:color="auto"/>
        <w:bottom w:val="none" w:sz="0" w:space="0" w:color="auto"/>
        <w:right w:val="none" w:sz="0" w:space="0" w:color="auto"/>
      </w:divBdr>
    </w:div>
    <w:div w:id="939724342">
      <w:marLeft w:val="0"/>
      <w:marRight w:val="0"/>
      <w:marTop w:val="0"/>
      <w:marBottom w:val="0"/>
      <w:divBdr>
        <w:top w:val="none" w:sz="0" w:space="0" w:color="auto"/>
        <w:left w:val="none" w:sz="0" w:space="0" w:color="auto"/>
        <w:bottom w:val="none" w:sz="0" w:space="0" w:color="auto"/>
        <w:right w:val="none" w:sz="0" w:space="0" w:color="auto"/>
      </w:divBdr>
    </w:div>
    <w:div w:id="939724343">
      <w:marLeft w:val="0"/>
      <w:marRight w:val="0"/>
      <w:marTop w:val="0"/>
      <w:marBottom w:val="0"/>
      <w:divBdr>
        <w:top w:val="none" w:sz="0" w:space="0" w:color="auto"/>
        <w:left w:val="none" w:sz="0" w:space="0" w:color="auto"/>
        <w:bottom w:val="none" w:sz="0" w:space="0" w:color="auto"/>
        <w:right w:val="none" w:sz="0" w:space="0" w:color="auto"/>
      </w:divBdr>
    </w:div>
    <w:div w:id="939724344">
      <w:marLeft w:val="0"/>
      <w:marRight w:val="0"/>
      <w:marTop w:val="0"/>
      <w:marBottom w:val="0"/>
      <w:divBdr>
        <w:top w:val="none" w:sz="0" w:space="0" w:color="auto"/>
        <w:left w:val="none" w:sz="0" w:space="0" w:color="auto"/>
        <w:bottom w:val="none" w:sz="0" w:space="0" w:color="auto"/>
        <w:right w:val="none" w:sz="0" w:space="0" w:color="auto"/>
      </w:divBdr>
    </w:div>
    <w:div w:id="939724345">
      <w:marLeft w:val="0"/>
      <w:marRight w:val="0"/>
      <w:marTop w:val="0"/>
      <w:marBottom w:val="0"/>
      <w:divBdr>
        <w:top w:val="none" w:sz="0" w:space="0" w:color="auto"/>
        <w:left w:val="none" w:sz="0" w:space="0" w:color="auto"/>
        <w:bottom w:val="none" w:sz="0" w:space="0" w:color="auto"/>
        <w:right w:val="none" w:sz="0" w:space="0" w:color="auto"/>
      </w:divBdr>
    </w:div>
    <w:div w:id="939724346">
      <w:marLeft w:val="0"/>
      <w:marRight w:val="0"/>
      <w:marTop w:val="0"/>
      <w:marBottom w:val="0"/>
      <w:divBdr>
        <w:top w:val="none" w:sz="0" w:space="0" w:color="auto"/>
        <w:left w:val="none" w:sz="0" w:space="0" w:color="auto"/>
        <w:bottom w:val="none" w:sz="0" w:space="0" w:color="auto"/>
        <w:right w:val="none" w:sz="0" w:space="0" w:color="auto"/>
      </w:divBdr>
    </w:div>
    <w:div w:id="939724347">
      <w:marLeft w:val="0"/>
      <w:marRight w:val="0"/>
      <w:marTop w:val="0"/>
      <w:marBottom w:val="0"/>
      <w:divBdr>
        <w:top w:val="none" w:sz="0" w:space="0" w:color="auto"/>
        <w:left w:val="none" w:sz="0" w:space="0" w:color="auto"/>
        <w:bottom w:val="none" w:sz="0" w:space="0" w:color="auto"/>
        <w:right w:val="none" w:sz="0" w:space="0" w:color="auto"/>
      </w:divBdr>
    </w:div>
    <w:div w:id="939724348">
      <w:marLeft w:val="0"/>
      <w:marRight w:val="0"/>
      <w:marTop w:val="0"/>
      <w:marBottom w:val="0"/>
      <w:divBdr>
        <w:top w:val="none" w:sz="0" w:space="0" w:color="auto"/>
        <w:left w:val="none" w:sz="0" w:space="0" w:color="auto"/>
        <w:bottom w:val="none" w:sz="0" w:space="0" w:color="auto"/>
        <w:right w:val="none" w:sz="0" w:space="0" w:color="auto"/>
      </w:divBdr>
    </w:div>
    <w:div w:id="939724349">
      <w:marLeft w:val="0"/>
      <w:marRight w:val="0"/>
      <w:marTop w:val="0"/>
      <w:marBottom w:val="0"/>
      <w:divBdr>
        <w:top w:val="none" w:sz="0" w:space="0" w:color="auto"/>
        <w:left w:val="none" w:sz="0" w:space="0" w:color="auto"/>
        <w:bottom w:val="none" w:sz="0" w:space="0" w:color="auto"/>
        <w:right w:val="none" w:sz="0" w:space="0" w:color="auto"/>
      </w:divBdr>
    </w:div>
    <w:div w:id="9397243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864B-C505-43FC-B758-E4D79C2D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dc:creator>
  <cp:keywords/>
  <dc:description/>
  <cp:lastModifiedBy>Dzenana Music</cp:lastModifiedBy>
  <cp:revision>2</cp:revision>
  <cp:lastPrinted>2017-03-10T10:32:00Z</cp:lastPrinted>
  <dcterms:created xsi:type="dcterms:W3CDTF">2025-09-26T12:40:00Z</dcterms:created>
  <dcterms:modified xsi:type="dcterms:W3CDTF">2025-09-26T12:40:00Z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f496b-b57d-4a77-ad4e-08b58279c2e6_Enabled">
    <vt:lpwstr>true</vt:lpwstr>
  </property>
  <property fmtid="{D5CDD505-2E9C-101B-9397-08002B2CF9AE}" pid="3" name="MSIP_Label_e53f496b-b57d-4a77-ad4e-08b58279c2e6_SetDate">
    <vt:lpwstr>2023-03-13T10:03:23Z</vt:lpwstr>
  </property>
  <property fmtid="{D5CDD505-2E9C-101B-9397-08002B2CF9AE}" pid="4" name="MSIP_Label_e53f496b-b57d-4a77-ad4e-08b58279c2e6_Method">
    <vt:lpwstr>Privileged</vt:lpwstr>
  </property>
  <property fmtid="{D5CDD505-2E9C-101B-9397-08002B2CF9AE}" pid="5" name="MSIP_Label_e53f496b-b57d-4a77-ad4e-08b58279c2e6_Name">
    <vt:lpwstr>nlbsa-lbl-internal</vt:lpwstr>
  </property>
  <property fmtid="{D5CDD505-2E9C-101B-9397-08002B2CF9AE}" pid="6" name="MSIP_Label_e53f496b-b57d-4a77-ad4e-08b58279c2e6_SiteId">
    <vt:lpwstr>368e92b5-dfa0-4bce-9594-4c2e6fd2d1eb</vt:lpwstr>
  </property>
  <property fmtid="{D5CDD505-2E9C-101B-9397-08002B2CF9AE}" pid="7" name="MSIP_Label_e53f496b-b57d-4a77-ad4e-08b58279c2e6_ActionId">
    <vt:lpwstr>62e85f14-871b-401e-937a-e81a1a4910f1</vt:lpwstr>
  </property>
  <property fmtid="{D5CDD505-2E9C-101B-9397-08002B2CF9AE}" pid="8" name="MSIP_Label_e53f496b-b57d-4a77-ad4e-08b58279c2e6_ContentBits">
    <vt:lpwstr>0</vt:lpwstr>
  </property>
</Properties>
</file>